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D38" w:rsidRDefault="00276D38">
      <w:pPr>
        <w:rPr>
          <w:rFonts w:ascii="Tahoma" w:hAnsi="Tahoma" w:cs="Tahoma"/>
          <w:sz w:val="20"/>
          <w:szCs w:val="20"/>
        </w:rPr>
      </w:pPr>
    </w:p>
    <w:p w:rsidR="00720107" w:rsidRDefault="002608F4">
      <w:pPr>
        <w:jc w:val="center"/>
        <w:rPr>
          <w:rFonts w:ascii="Tahoma" w:hAnsi="Tahoma" w:cs="Tahoma"/>
          <w:b/>
          <w:szCs w:val="20"/>
        </w:rPr>
      </w:pPr>
      <w:bookmarkStart w:id="0" w:name="_GoBack"/>
      <w:bookmarkEnd w:id="0"/>
      <w:r>
        <w:rPr>
          <w:rFonts w:ascii="Tahoma" w:hAnsi="Tahoma"/>
          <w:b/>
        </w:rPr>
        <w:t>FINEO 10T - Vitrage isolant sous vide</w:t>
      </w:r>
    </w:p>
    <w:p w:rsidR="003A1F97" w:rsidRDefault="003A1F97">
      <w:pPr>
        <w:jc w:val="center"/>
        <w:rPr>
          <w:rFonts w:ascii="Tahoma" w:hAnsi="Tahoma" w:cs="Tahoma"/>
          <w:b/>
          <w:sz w:val="20"/>
          <w:szCs w:val="20"/>
        </w:rPr>
      </w:pPr>
    </w:p>
    <w:p w:rsidR="00E27C2C" w:rsidRDefault="00E27C2C">
      <w:pPr>
        <w:rPr>
          <w:rFonts w:ascii="Tahoma" w:hAnsi="Tahoma" w:cs="Tahoma"/>
          <w:sz w:val="20"/>
          <w:szCs w:val="20"/>
        </w:rPr>
      </w:pPr>
      <w:r>
        <w:rPr>
          <w:rFonts w:ascii="Tahoma" w:hAnsi="Tahoma"/>
          <w:sz w:val="20"/>
        </w:rPr>
        <w:t>FINEO est un vitrage isolant sous vide composé de deux feuilles de verre clair trempé thermiquement séparées par un vide intérieur. L</w:t>
      </w:r>
      <w:r w:rsidR="00B06B91">
        <w:rPr>
          <w:rFonts w:ascii="Tahoma" w:hAnsi="Tahoma"/>
          <w:sz w:val="20"/>
        </w:rPr>
        <w:t>’</w:t>
      </w:r>
      <w:r>
        <w:rPr>
          <w:rFonts w:ascii="Tahoma" w:hAnsi="Tahoma"/>
          <w:sz w:val="20"/>
        </w:rPr>
        <w:t>interstice entre les feuilles est maintenu par une bande latérale en matériau inorganique sans plomb spécialement développé pour les applications à vide. La bande latérale inorganique sans plomb assure la résistance mécanique voulue et un scellement hermétique.</w:t>
      </w:r>
    </w:p>
    <w:p w:rsidR="0029647D" w:rsidRDefault="0029647D">
      <w:pPr>
        <w:rPr>
          <w:rFonts w:ascii="Tahoma" w:hAnsi="Tahoma" w:cs="Tahoma"/>
          <w:sz w:val="20"/>
          <w:szCs w:val="20"/>
        </w:rPr>
      </w:pPr>
      <w:r>
        <w:rPr>
          <w:rFonts w:ascii="Tahoma" w:hAnsi="Tahoma"/>
          <w:sz w:val="20"/>
        </w:rPr>
        <w:t>L</w:t>
      </w:r>
      <w:r w:rsidR="00B06B91">
        <w:rPr>
          <w:rFonts w:ascii="Tahoma" w:hAnsi="Tahoma"/>
          <w:sz w:val="20"/>
        </w:rPr>
        <w:t>’</w:t>
      </w:r>
      <w:r>
        <w:rPr>
          <w:rFonts w:ascii="Tahoma" w:hAnsi="Tahoma"/>
          <w:sz w:val="20"/>
        </w:rPr>
        <w:t>ensemble présente un indice d</w:t>
      </w:r>
      <w:r w:rsidR="00B06B91">
        <w:rPr>
          <w:rFonts w:ascii="Tahoma" w:hAnsi="Tahoma"/>
          <w:sz w:val="20"/>
        </w:rPr>
        <w:t>’</w:t>
      </w:r>
      <w:r>
        <w:rPr>
          <w:rFonts w:ascii="Tahoma" w:hAnsi="Tahoma"/>
          <w:sz w:val="20"/>
        </w:rPr>
        <w:t xml:space="preserve">affaiblissement acoustique de </w:t>
      </w:r>
      <w:proofErr w:type="spellStart"/>
      <w:r>
        <w:rPr>
          <w:rFonts w:ascii="Tahoma" w:hAnsi="Tahoma"/>
          <w:sz w:val="20"/>
        </w:rPr>
        <w:t>Rw</w:t>
      </w:r>
      <w:proofErr w:type="spellEnd"/>
      <w:r>
        <w:rPr>
          <w:rFonts w:ascii="Tahoma" w:hAnsi="Tahoma"/>
          <w:sz w:val="20"/>
        </w:rPr>
        <w:t xml:space="preserve"> = 36(-2;-3) dB conformément à la norme ISO 19916-1, article 8.</w:t>
      </w:r>
    </w:p>
    <w:p w:rsidR="00E27C2C" w:rsidRDefault="00E27C2C">
      <w:pPr>
        <w:rPr>
          <w:rFonts w:ascii="Tahoma" w:hAnsi="Tahoma" w:cs="Tahoma"/>
          <w:sz w:val="20"/>
          <w:szCs w:val="20"/>
        </w:rPr>
      </w:pPr>
    </w:p>
    <w:p w:rsidR="00E27C2C" w:rsidRDefault="00E27C2C">
      <w:pPr>
        <w:rPr>
          <w:rFonts w:ascii="Tahoma" w:hAnsi="Tahoma" w:cs="Tahoma"/>
          <w:sz w:val="20"/>
          <w:szCs w:val="20"/>
        </w:rPr>
      </w:pPr>
      <w:r>
        <w:rPr>
          <w:rFonts w:ascii="Tahoma" w:hAnsi="Tahoma"/>
          <w:sz w:val="20"/>
        </w:rPr>
        <w:t>FINEO est pourvu d</w:t>
      </w:r>
      <w:r w:rsidR="00B06B91">
        <w:rPr>
          <w:rFonts w:ascii="Tahoma" w:hAnsi="Tahoma"/>
          <w:sz w:val="20"/>
        </w:rPr>
        <w:t>’</w:t>
      </w:r>
      <w:r>
        <w:rPr>
          <w:rFonts w:ascii="Tahoma" w:hAnsi="Tahoma"/>
          <w:sz w:val="20"/>
        </w:rPr>
        <w:t>un absorbeur linéaire sur le bord du vide intérieur aux endroits émergés où la couche est absente. Le vitrage ne possède pas de point d</w:t>
      </w:r>
      <w:r w:rsidR="00B06B91">
        <w:rPr>
          <w:rFonts w:ascii="Tahoma" w:hAnsi="Tahoma"/>
          <w:sz w:val="20"/>
        </w:rPr>
        <w:t>’</w:t>
      </w:r>
      <w:r>
        <w:rPr>
          <w:rFonts w:ascii="Tahoma" w:hAnsi="Tahoma"/>
          <w:sz w:val="20"/>
        </w:rPr>
        <w:t>évacuation du vide.</w:t>
      </w:r>
    </w:p>
    <w:p w:rsidR="00E27C2C" w:rsidRDefault="00E27C2C">
      <w:pPr>
        <w:rPr>
          <w:rFonts w:ascii="Tahoma" w:hAnsi="Tahoma" w:cs="Tahoma"/>
          <w:sz w:val="20"/>
          <w:szCs w:val="20"/>
        </w:rPr>
      </w:pPr>
    </w:p>
    <w:p w:rsidR="00E27C2C" w:rsidRDefault="00E27C2C">
      <w:pPr>
        <w:rPr>
          <w:rFonts w:ascii="Tahoma" w:hAnsi="Tahoma" w:cs="Tahoma"/>
          <w:sz w:val="20"/>
          <w:szCs w:val="20"/>
        </w:rPr>
      </w:pPr>
      <w:r>
        <w:rPr>
          <w:rFonts w:ascii="Tahoma" w:hAnsi="Tahoma"/>
          <w:sz w:val="20"/>
        </w:rPr>
        <w:t>Ce vitrage isolant sous vide se compose de deux feuilles de verre conformes à la norme EN 12150 séparées par un vide intérieur d</w:t>
      </w:r>
      <w:r w:rsidR="00B06B91">
        <w:rPr>
          <w:rFonts w:ascii="Tahoma" w:hAnsi="Tahoma"/>
          <w:sz w:val="20"/>
        </w:rPr>
        <w:t>’</w:t>
      </w:r>
      <w:r>
        <w:rPr>
          <w:rFonts w:ascii="Tahoma" w:hAnsi="Tahoma"/>
          <w:sz w:val="20"/>
        </w:rPr>
        <w:t>environ 0,1 </w:t>
      </w:r>
      <w:proofErr w:type="spellStart"/>
      <w:r>
        <w:rPr>
          <w:rFonts w:ascii="Tahoma" w:hAnsi="Tahoma"/>
          <w:sz w:val="20"/>
        </w:rPr>
        <w:t>mm.</w:t>
      </w:r>
      <w:proofErr w:type="spellEnd"/>
      <w:r>
        <w:rPr>
          <w:rFonts w:ascii="Tahoma" w:hAnsi="Tahoma"/>
          <w:sz w:val="20"/>
        </w:rPr>
        <w:t xml:space="preserve"> L</w:t>
      </w:r>
      <w:r w:rsidR="00B06B91">
        <w:rPr>
          <w:rFonts w:ascii="Tahoma" w:hAnsi="Tahoma"/>
          <w:sz w:val="20"/>
        </w:rPr>
        <w:t>’</w:t>
      </w:r>
      <w:r>
        <w:rPr>
          <w:rFonts w:ascii="Tahoma" w:hAnsi="Tahoma"/>
          <w:sz w:val="20"/>
        </w:rPr>
        <w:t>interstice entre les feuilles est entretoisé à l</w:t>
      </w:r>
      <w:r w:rsidR="00B06B91">
        <w:rPr>
          <w:rFonts w:ascii="Tahoma" w:hAnsi="Tahoma"/>
          <w:sz w:val="20"/>
        </w:rPr>
        <w:t>’</w:t>
      </w:r>
      <w:r>
        <w:rPr>
          <w:rFonts w:ascii="Tahoma" w:hAnsi="Tahoma"/>
          <w:sz w:val="20"/>
        </w:rPr>
        <w:t>aide de micro-</w:t>
      </w:r>
      <w:proofErr w:type="spellStart"/>
      <w:r>
        <w:rPr>
          <w:rFonts w:ascii="Tahoma" w:hAnsi="Tahoma"/>
          <w:sz w:val="20"/>
        </w:rPr>
        <w:t>espaceurs</w:t>
      </w:r>
      <w:proofErr w:type="spellEnd"/>
      <w:r>
        <w:rPr>
          <w:rFonts w:ascii="Tahoma" w:hAnsi="Tahoma"/>
          <w:sz w:val="20"/>
        </w:rPr>
        <w:t xml:space="preserve"> disposés selon un maillage de 20 mm sur l</w:t>
      </w:r>
      <w:r w:rsidR="00B06B91">
        <w:rPr>
          <w:rFonts w:ascii="Tahoma" w:hAnsi="Tahoma"/>
          <w:sz w:val="20"/>
        </w:rPr>
        <w:t>’</w:t>
      </w:r>
      <w:r>
        <w:rPr>
          <w:rFonts w:ascii="Tahoma" w:hAnsi="Tahoma"/>
          <w:sz w:val="20"/>
        </w:rPr>
        <w:t>ensemble de la surface du verre.</w:t>
      </w:r>
    </w:p>
    <w:p w:rsidR="00E27C2C" w:rsidRDefault="00E27C2C">
      <w:pPr>
        <w:rPr>
          <w:rFonts w:ascii="Tahoma" w:hAnsi="Tahoma" w:cs="Tahoma"/>
          <w:sz w:val="20"/>
          <w:szCs w:val="20"/>
        </w:rPr>
      </w:pPr>
    </w:p>
    <w:p w:rsidR="00E27C2C" w:rsidRDefault="00E27C2C">
      <w:pPr>
        <w:rPr>
          <w:rFonts w:ascii="Tahoma" w:hAnsi="Tahoma" w:cs="Tahoma"/>
          <w:sz w:val="20"/>
          <w:szCs w:val="20"/>
        </w:rPr>
      </w:pPr>
      <w:r>
        <w:rPr>
          <w:rFonts w:ascii="Tahoma" w:hAnsi="Tahoma"/>
          <w:sz w:val="20"/>
        </w:rPr>
        <w:t>Les faces intérieures du verre (celles en contact avec la cavité intérieure) sont revêtues d</w:t>
      </w:r>
      <w:r w:rsidR="00B06B91">
        <w:rPr>
          <w:rFonts w:ascii="Tahoma" w:hAnsi="Tahoma"/>
          <w:sz w:val="20"/>
        </w:rPr>
        <w:t>’</w:t>
      </w:r>
      <w:r>
        <w:rPr>
          <w:rFonts w:ascii="Tahoma" w:hAnsi="Tahoma"/>
          <w:sz w:val="20"/>
        </w:rPr>
        <w:t>une couche à basse émissivité (low-e) conforme à EN 1096.</w:t>
      </w:r>
    </w:p>
    <w:p w:rsidR="00E27C2C" w:rsidRDefault="00E27C2C">
      <w:pPr>
        <w:rPr>
          <w:rFonts w:ascii="Tahoma" w:hAnsi="Tahoma" w:cs="Tahoma"/>
          <w:sz w:val="20"/>
          <w:szCs w:val="20"/>
        </w:rPr>
      </w:pPr>
    </w:p>
    <w:p w:rsidR="00E27C2C" w:rsidRDefault="00E27C2C">
      <w:pPr>
        <w:rPr>
          <w:rFonts w:ascii="Tahoma" w:hAnsi="Tahoma" w:cs="Tahoma"/>
          <w:sz w:val="20"/>
          <w:szCs w:val="20"/>
        </w:rPr>
      </w:pPr>
      <w:r>
        <w:rPr>
          <w:rFonts w:ascii="Tahoma" w:hAnsi="Tahoma"/>
          <w:sz w:val="20"/>
        </w:rPr>
        <w:t>Principales caractéristiques lumineuses et énergétiques pour la composition suivante</w:t>
      </w:r>
      <w:r>
        <w:rPr>
          <w:rFonts w:ascii="Tahoma" w:hAnsi="Tahoma"/>
          <w:sz w:val="20"/>
          <w:vertAlign w:val="superscript"/>
        </w:rPr>
        <w:t>(1)</w:t>
      </w:r>
      <w:r>
        <w:rPr>
          <w:rFonts w:ascii="Tahoma" w:hAnsi="Tahoma"/>
          <w:sz w:val="20"/>
        </w:rPr>
        <w:t> :</w:t>
      </w:r>
    </w:p>
    <w:p w:rsidR="00A07E51" w:rsidRDefault="004C07CC">
      <w:pPr>
        <w:rPr>
          <w:rFonts w:ascii="Tahoma" w:hAnsi="Tahoma" w:cs="Tahoma"/>
          <w:sz w:val="20"/>
          <w:szCs w:val="20"/>
        </w:rPr>
      </w:pPr>
      <w:r>
        <w:rPr>
          <w:rFonts w:ascii="Tahoma" w:hAnsi="Tahoma"/>
          <w:sz w:val="20"/>
        </w:rPr>
        <w:t>vitrage isolant sous vide 10 mm (vide intérieur et couche low-e 0,1 mm).</w:t>
      </w:r>
    </w:p>
    <w:tbl>
      <w:tblPr>
        <w:tblStyle w:val="TableGrid"/>
        <w:tblW w:w="0" w:type="auto"/>
        <w:tblLook w:val="04A0" w:firstRow="1" w:lastRow="0" w:firstColumn="1" w:lastColumn="0" w:noHBand="0" w:noVBand="1"/>
      </w:tblPr>
      <w:tblGrid>
        <w:gridCol w:w="4248"/>
        <w:gridCol w:w="1559"/>
        <w:gridCol w:w="1276"/>
        <w:gridCol w:w="2267"/>
      </w:tblGrid>
      <w:tr w:rsidR="00A07E51" w:rsidTr="00EC0AE8">
        <w:tc>
          <w:tcPr>
            <w:tcW w:w="4248" w:type="dxa"/>
            <w:shd w:val="clear" w:color="auto" w:fill="00B0F0"/>
          </w:tcPr>
          <w:p w:rsidR="00A07E51" w:rsidRDefault="00E27C2C">
            <w:pPr>
              <w:jc w:val="center"/>
              <w:rPr>
                <w:rFonts w:ascii="Tahoma" w:hAnsi="Tahoma" w:cs="Tahoma"/>
                <w:color w:val="FFFFFF" w:themeColor="background1"/>
                <w:sz w:val="20"/>
                <w:szCs w:val="20"/>
              </w:rPr>
            </w:pPr>
            <w:r>
              <w:rPr>
                <w:rFonts w:ascii="Tahoma" w:hAnsi="Tahoma"/>
                <w:color w:val="FFFFFF" w:themeColor="background1"/>
                <w:sz w:val="20"/>
              </w:rPr>
              <w:t>Caractéristique</w:t>
            </w:r>
          </w:p>
        </w:tc>
        <w:tc>
          <w:tcPr>
            <w:tcW w:w="1559" w:type="dxa"/>
            <w:shd w:val="clear" w:color="auto" w:fill="00B0F0"/>
          </w:tcPr>
          <w:p w:rsidR="00A07E51" w:rsidRDefault="00E27C2C">
            <w:pPr>
              <w:jc w:val="center"/>
              <w:rPr>
                <w:rFonts w:ascii="Tahoma" w:hAnsi="Tahoma" w:cs="Tahoma"/>
                <w:color w:val="FFFFFF" w:themeColor="background1"/>
                <w:sz w:val="20"/>
                <w:szCs w:val="20"/>
              </w:rPr>
            </w:pPr>
            <w:r>
              <w:rPr>
                <w:rFonts w:ascii="Tahoma" w:hAnsi="Tahoma"/>
                <w:color w:val="FFFFFF" w:themeColor="background1"/>
                <w:sz w:val="20"/>
              </w:rPr>
              <w:t>Valeur</w:t>
            </w:r>
          </w:p>
        </w:tc>
        <w:tc>
          <w:tcPr>
            <w:tcW w:w="1276" w:type="dxa"/>
            <w:shd w:val="clear" w:color="auto" w:fill="00B0F0"/>
          </w:tcPr>
          <w:p w:rsidR="00A07E51" w:rsidRDefault="00E27C2C">
            <w:pPr>
              <w:jc w:val="center"/>
              <w:rPr>
                <w:rFonts w:ascii="Tahoma" w:hAnsi="Tahoma" w:cs="Tahoma"/>
                <w:color w:val="FFFFFF" w:themeColor="background1"/>
                <w:sz w:val="20"/>
                <w:szCs w:val="20"/>
              </w:rPr>
            </w:pPr>
            <w:r>
              <w:rPr>
                <w:rFonts w:ascii="Tahoma" w:hAnsi="Tahoma"/>
                <w:color w:val="FFFFFF" w:themeColor="background1"/>
                <w:sz w:val="20"/>
              </w:rPr>
              <w:t>Unité</w:t>
            </w:r>
          </w:p>
        </w:tc>
        <w:tc>
          <w:tcPr>
            <w:tcW w:w="2267" w:type="dxa"/>
            <w:shd w:val="clear" w:color="auto" w:fill="00B0F0"/>
          </w:tcPr>
          <w:p w:rsidR="00A07E51" w:rsidRDefault="005D4085">
            <w:pPr>
              <w:jc w:val="center"/>
              <w:rPr>
                <w:rFonts w:ascii="Tahoma" w:hAnsi="Tahoma" w:cs="Tahoma"/>
                <w:color w:val="FFFFFF" w:themeColor="background1"/>
                <w:sz w:val="20"/>
                <w:szCs w:val="20"/>
              </w:rPr>
            </w:pPr>
            <w:r>
              <w:rPr>
                <w:rFonts w:ascii="Tahoma" w:hAnsi="Tahoma"/>
                <w:color w:val="FFFFFF" w:themeColor="background1"/>
                <w:sz w:val="20"/>
              </w:rPr>
              <w:t>Norme EN</w:t>
            </w:r>
          </w:p>
        </w:tc>
      </w:tr>
      <w:tr w:rsidR="00007AB0" w:rsidTr="00EC0AE8">
        <w:tc>
          <w:tcPr>
            <w:tcW w:w="4248" w:type="dxa"/>
          </w:tcPr>
          <w:p w:rsidR="00007AB0" w:rsidRDefault="00E27C2C">
            <w:pPr>
              <w:jc w:val="center"/>
              <w:rPr>
                <w:rFonts w:ascii="Tahoma" w:hAnsi="Tahoma" w:cs="Tahoma"/>
                <w:sz w:val="20"/>
                <w:szCs w:val="20"/>
              </w:rPr>
            </w:pPr>
            <w:r>
              <w:rPr>
                <w:rFonts w:ascii="Tahoma" w:hAnsi="Tahoma"/>
                <w:sz w:val="20"/>
              </w:rPr>
              <w:t>TL - Transmission lumineuse</w:t>
            </w:r>
          </w:p>
        </w:tc>
        <w:tc>
          <w:tcPr>
            <w:tcW w:w="1559" w:type="dxa"/>
          </w:tcPr>
          <w:p w:rsidR="00007AB0" w:rsidRDefault="008E1F89">
            <w:pPr>
              <w:jc w:val="center"/>
              <w:rPr>
                <w:rFonts w:ascii="Tahoma" w:hAnsi="Tahoma" w:cs="Tahoma"/>
                <w:sz w:val="20"/>
                <w:szCs w:val="20"/>
              </w:rPr>
            </w:pPr>
            <w:r>
              <w:rPr>
                <w:rFonts w:ascii="Tahoma" w:hAnsi="Tahoma"/>
                <w:sz w:val="20"/>
              </w:rPr>
              <w:t>79</w:t>
            </w:r>
          </w:p>
        </w:tc>
        <w:tc>
          <w:tcPr>
            <w:tcW w:w="1276" w:type="dxa"/>
          </w:tcPr>
          <w:p w:rsidR="00007AB0" w:rsidRDefault="00007AB0">
            <w:pPr>
              <w:jc w:val="center"/>
              <w:rPr>
                <w:rFonts w:ascii="Tahoma" w:hAnsi="Tahoma" w:cs="Tahoma"/>
                <w:sz w:val="20"/>
                <w:szCs w:val="20"/>
              </w:rPr>
            </w:pPr>
            <w:r>
              <w:rPr>
                <w:rFonts w:ascii="Tahoma" w:hAnsi="Tahoma"/>
                <w:sz w:val="20"/>
              </w:rPr>
              <w:t>%</w:t>
            </w:r>
          </w:p>
        </w:tc>
        <w:tc>
          <w:tcPr>
            <w:tcW w:w="2267" w:type="dxa"/>
            <w:vMerge w:val="restart"/>
            <w:vAlign w:val="center"/>
          </w:tcPr>
          <w:p w:rsidR="00007AB0" w:rsidRDefault="00007AB0">
            <w:pPr>
              <w:jc w:val="center"/>
              <w:rPr>
                <w:rFonts w:ascii="Tahoma" w:hAnsi="Tahoma" w:cs="Tahoma"/>
                <w:sz w:val="20"/>
                <w:szCs w:val="20"/>
              </w:rPr>
            </w:pPr>
            <w:r>
              <w:rPr>
                <w:rFonts w:ascii="Tahoma" w:hAnsi="Tahoma"/>
                <w:sz w:val="20"/>
              </w:rPr>
              <w:t>EN 410</w:t>
            </w:r>
          </w:p>
        </w:tc>
      </w:tr>
      <w:tr w:rsidR="00007AB0" w:rsidTr="00EC0AE8">
        <w:tc>
          <w:tcPr>
            <w:tcW w:w="4248" w:type="dxa"/>
          </w:tcPr>
          <w:p w:rsidR="00007AB0" w:rsidRDefault="00E27C2C">
            <w:pPr>
              <w:jc w:val="center"/>
              <w:rPr>
                <w:rFonts w:ascii="Tahoma" w:hAnsi="Tahoma" w:cs="Tahoma"/>
                <w:sz w:val="20"/>
                <w:szCs w:val="20"/>
              </w:rPr>
            </w:pPr>
            <w:r>
              <w:rPr>
                <w:rFonts w:ascii="Tahoma" w:hAnsi="Tahoma"/>
                <w:sz w:val="20"/>
              </w:rPr>
              <w:t>RL ext. / RL int. – Réflexion lumineuse</w:t>
            </w:r>
          </w:p>
        </w:tc>
        <w:tc>
          <w:tcPr>
            <w:tcW w:w="1559" w:type="dxa"/>
          </w:tcPr>
          <w:p w:rsidR="00007AB0" w:rsidRDefault="008E1F89">
            <w:pPr>
              <w:jc w:val="center"/>
              <w:rPr>
                <w:rFonts w:ascii="Tahoma" w:hAnsi="Tahoma" w:cs="Tahoma"/>
                <w:sz w:val="20"/>
                <w:szCs w:val="20"/>
              </w:rPr>
            </w:pPr>
            <w:r>
              <w:rPr>
                <w:rFonts w:ascii="Tahoma" w:hAnsi="Tahoma"/>
                <w:sz w:val="20"/>
              </w:rPr>
              <w:t>14 / 14</w:t>
            </w:r>
          </w:p>
        </w:tc>
        <w:tc>
          <w:tcPr>
            <w:tcW w:w="1276" w:type="dxa"/>
          </w:tcPr>
          <w:p w:rsidR="00007AB0" w:rsidRDefault="00007AB0">
            <w:pPr>
              <w:jc w:val="center"/>
              <w:rPr>
                <w:rFonts w:ascii="Tahoma" w:hAnsi="Tahoma" w:cs="Tahoma"/>
                <w:sz w:val="20"/>
                <w:szCs w:val="20"/>
              </w:rPr>
            </w:pPr>
            <w:r>
              <w:rPr>
                <w:rFonts w:ascii="Tahoma" w:hAnsi="Tahoma"/>
                <w:sz w:val="20"/>
              </w:rPr>
              <w:t>%</w:t>
            </w:r>
          </w:p>
        </w:tc>
        <w:tc>
          <w:tcPr>
            <w:tcW w:w="2267" w:type="dxa"/>
            <w:vMerge/>
          </w:tcPr>
          <w:p w:rsidR="00007AB0" w:rsidRDefault="00007AB0">
            <w:pPr>
              <w:jc w:val="center"/>
              <w:rPr>
                <w:rFonts w:ascii="Tahoma" w:hAnsi="Tahoma" w:cs="Tahoma"/>
                <w:sz w:val="20"/>
                <w:szCs w:val="20"/>
              </w:rPr>
            </w:pPr>
          </w:p>
        </w:tc>
      </w:tr>
      <w:tr w:rsidR="00007AB0" w:rsidTr="00EC0AE8">
        <w:tc>
          <w:tcPr>
            <w:tcW w:w="4248" w:type="dxa"/>
          </w:tcPr>
          <w:p w:rsidR="00007AB0" w:rsidRDefault="00007AB0">
            <w:pPr>
              <w:jc w:val="center"/>
              <w:rPr>
                <w:rFonts w:ascii="Tahoma" w:hAnsi="Tahoma" w:cs="Tahoma"/>
                <w:sz w:val="20"/>
                <w:szCs w:val="20"/>
              </w:rPr>
            </w:pPr>
            <w:r>
              <w:rPr>
                <w:rFonts w:ascii="Tahoma" w:hAnsi="Tahoma"/>
                <w:sz w:val="20"/>
              </w:rPr>
              <w:t>g</w:t>
            </w:r>
          </w:p>
        </w:tc>
        <w:tc>
          <w:tcPr>
            <w:tcW w:w="1559" w:type="dxa"/>
          </w:tcPr>
          <w:p w:rsidR="00007AB0" w:rsidRDefault="008E1F89">
            <w:pPr>
              <w:jc w:val="center"/>
              <w:rPr>
                <w:rFonts w:ascii="Tahoma" w:hAnsi="Tahoma" w:cs="Tahoma"/>
                <w:sz w:val="20"/>
                <w:szCs w:val="20"/>
              </w:rPr>
            </w:pPr>
            <w:r>
              <w:rPr>
                <w:rFonts w:ascii="Tahoma" w:hAnsi="Tahoma"/>
                <w:sz w:val="20"/>
              </w:rPr>
              <w:t>0,61</w:t>
            </w:r>
          </w:p>
        </w:tc>
        <w:tc>
          <w:tcPr>
            <w:tcW w:w="1276" w:type="dxa"/>
          </w:tcPr>
          <w:p w:rsidR="00007AB0" w:rsidRDefault="00007AB0">
            <w:pPr>
              <w:jc w:val="center"/>
              <w:rPr>
                <w:rFonts w:ascii="Tahoma" w:hAnsi="Tahoma" w:cs="Tahoma"/>
                <w:sz w:val="20"/>
                <w:szCs w:val="20"/>
              </w:rPr>
            </w:pPr>
            <w:r>
              <w:rPr>
                <w:rFonts w:ascii="Tahoma" w:hAnsi="Tahoma"/>
                <w:sz w:val="20"/>
              </w:rPr>
              <w:t>-</w:t>
            </w:r>
          </w:p>
        </w:tc>
        <w:tc>
          <w:tcPr>
            <w:tcW w:w="2267" w:type="dxa"/>
            <w:vMerge/>
          </w:tcPr>
          <w:p w:rsidR="00007AB0" w:rsidRDefault="00007AB0">
            <w:pPr>
              <w:jc w:val="center"/>
              <w:rPr>
                <w:rFonts w:ascii="Tahoma" w:hAnsi="Tahoma" w:cs="Tahoma"/>
                <w:sz w:val="20"/>
                <w:szCs w:val="20"/>
              </w:rPr>
            </w:pPr>
          </w:p>
        </w:tc>
      </w:tr>
      <w:tr w:rsidR="00007AB0" w:rsidTr="00EC0AE8">
        <w:tc>
          <w:tcPr>
            <w:tcW w:w="4248" w:type="dxa"/>
          </w:tcPr>
          <w:p w:rsidR="00007AB0" w:rsidRDefault="00007AB0">
            <w:pPr>
              <w:jc w:val="center"/>
              <w:rPr>
                <w:rFonts w:ascii="Tahoma" w:hAnsi="Tahoma" w:cs="Tahoma"/>
                <w:sz w:val="20"/>
                <w:szCs w:val="20"/>
              </w:rPr>
            </w:pPr>
            <w:r>
              <w:rPr>
                <w:rFonts w:ascii="Tahoma" w:hAnsi="Tahoma"/>
                <w:sz w:val="20"/>
              </w:rPr>
              <w:t>Coefficient Ug</w:t>
            </w:r>
          </w:p>
        </w:tc>
        <w:tc>
          <w:tcPr>
            <w:tcW w:w="1559" w:type="dxa"/>
          </w:tcPr>
          <w:p w:rsidR="00007AB0" w:rsidRDefault="00F437C5">
            <w:pPr>
              <w:jc w:val="center"/>
              <w:rPr>
                <w:rFonts w:ascii="Tahoma" w:hAnsi="Tahoma" w:cs="Tahoma"/>
                <w:sz w:val="20"/>
                <w:szCs w:val="20"/>
              </w:rPr>
            </w:pPr>
            <w:r>
              <w:rPr>
                <w:rFonts w:ascii="Tahoma" w:hAnsi="Tahoma"/>
                <w:sz w:val="20"/>
              </w:rPr>
              <w:t>0,7</w:t>
            </w:r>
          </w:p>
        </w:tc>
        <w:tc>
          <w:tcPr>
            <w:tcW w:w="1276" w:type="dxa"/>
          </w:tcPr>
          <w:p w:rsidR="00007AB0" w:rsidRDefault="00007AB0">
            <w:pPr>
              <w:jc w:val="center"/>
              <w:rPr>
                <w:rFonts w:ascii="Tahoma" w:hAnsi="Tahoma" w:cs="Tahoma"/>
                <w:sz w:val="20"/>
                <w:szCs w:val="20"/>
              </w:rPr>
            </w:pPr>
            <w:r>
              <w:rPr>
                <w:rFonts w:ascii="Tahoma" w:hAnsi="Tahoma"/>
                <w:sz w:val="20"/>
              </w:rPr>
              <w:t>W/(m².K)</w:t>
            </w:r>
          </w:p>
        </w:tc>
        <w:tc>
          <w:tcPr>
            <w:tcW w:w="2267" w:type="dxa"/>
          </w:tcPr>
          <w:p w:rsidR="004C4E5C" w:rsidRDefault="00007AB0">
            <w:pPr>
              <w:jc w:val="center"/>
              <w:rPr>
                <w:rFonts w:ascii="Tahoma" w:hAnsi="Tahoma" w:cs="Tahoma"/>
                <w:sz w:val="20"/>
                <w:szCs w:val="20"/>
              </w:rPr>
            </w:pPr>
            <w:r>
              <w:rPr>
                <w:rFonts w:ascii="Tahoma" w:hAnsi="Tahoma"/>
                <w:sz w:val="20"/>
              </w:rPr>
              <w:t>EN 673</w:t>
            </w:r>
          </w:p>
        </w:tc>
      </w:tr>
      <w:tr w:rsidR="004C4E5C" w:rsidTr="00EC0AE8">
        <w:tc>
          <w:tcPr>
            <w:tcW w:w="4248" w:type="dxa"/>
          </w:tcPr>
          <w:p w:rsidR="004C4E5C" w:rsidRDefault="004C4E5C">
            <w:pPr>
              <w:jc w:val="center"/>
              <w:rPr>
                <w:rFonts w:ascii="Tahoma" w:hAnsi="Tahoma" w:cs="Tahoma"/>
                <w:sz w:val="20"/>
                <w:szCs w:val="20"/>
              </w:rPr>
            </w:pPr>
            <w:r>
              <w:rPr>
                <w:rFonts w:ascii="Tahoma" w:hAnsi="Tahoma"/>
                <w:sz w:val="20"/>
              </w:rPr>
              <w:t>Rw</w:t>
            </w:r>
          </w:p>
        </w:tc>
        <w:tc>
          <w:tcPr>
            <w:tcW w:w="1559" w:type="dxa"/>
          </w:tcPr>
          <w:p w:rsidR="004C4E5C" w:rsidRDefault="004C4E5C">
            <w:pPr>
              <w:jc w:val="center"/>
              <w:rPr>
                <w:rFonts w:ascii="Tahoma" w:hAnsi="Tahoma" w:cs="Tahoma"/>
                <w:sz w:val="20"/>
                <w:szCs w:val="20"/>
              </w:rPr>
            </w:pPr>
            <w:r>
              <w:rPr>
                <w:rFonts w:ascii="Tahoma" w:hAnsi="Tahoma"/>
                <w:sz w:val="20"/>
              </w:rPr>
              <w:t>36 (-2;-3)</w:t>
            </w:r>
          </w:p>
        </w:tc>
        <w:tc>
          <w:tcPr>
            <w:tcW w:w="1276" w:type="dxa"/>
          </w:tcPr>
          <w:p w:rsidR="004C4E5C" w:rsidRDefault="004C4E5C">
            <w:pPr>
              <w:jc w:val="center"/>
              <w:rPr>
                <w:rFonts w:ascii="Tahoma" w:hAnsi="Tahoma" w:cs="Tahoma"/>
                <w:sz w:val="20"/>
                <w:szCs w:val="20"/>
              </w:rPr>
            </w:pPr>
            <w:r>
              <w:rPr>
                <w:rFonts w:ascii="Tahoma" w:hAnsi="Tahoma"/>
                <w:sz w:val="20"/>
              </w:rPr>
              <w:t>dB</w:t>
            </w:r>
          </w:p>
        </w:tc>
        <w:tc>
          <w:tcPr>
            <w:tcW w:w="2267" w:type="dxa"/>
          </w:tcPr>
          <w:p w:rsidR="004C4E5C" w:rsidRDefault="004C4E5C">
            <w:pPr>
              <w:jc w:val="center"/>
              <w:rPr>
                <w:rFonts w:ascii="Tahoma" w:hAnsi="Tahoma" w:cs="Tahoma"/>
                <w:sz w:val="20"/>
                <w:szCs w:val="20"/>
              </w:rPr>
            </w:pPr>
            <w:r>
              <w:rPr>
                <w:rFonts w:ascii="Tahoma" w:hAnsi="Tahoma"/>
                <w:sz w:val="20"/>
              </w:rPr>
              <w:t>ISO 19916-1, article 8</w:t>
            </w:r>
          </w:p>
        </w:tc>
      </w:tr>
      <w:tr w:rsidR="00EC0AE8" w:rsidTr="00EC0AE8">
        <w:tc>
          <w:tcPr>
            <w:tcW w:w="4248" w:type="dxa"/>
          </w:tcPr>
          <w:p w:rsidR="00EC0AE8" w:rsidRDefault="00EC0AE8">
            <w:pPr>
              <w:jc w:val="center"/>
              <w:rPr>
                <w:rFonts w:ascii="Tahoma" w:hAnsi="Tahoma" w:cs="Tahoma"/>
                <w:sz w:val="20"/>
                <w:szCs w:val="20"/>
              </w:rPr>
            </w:pPr>
            <w:r>
              <w:rPr>
                <w:rFonts w:ascii="Tahoma" w:hAnsi="Tahoma"/>
                <w:sz w:val="20"/>
              </w:rPr>
              <w:t>Épaisseur réelle</w:t>
            </w:r>
          </w:p>
        </w:tc>
        <w:tc>
          <w:tcPr>
            <w:tcW w:w="1559" w:type="dxa"/>
          </w:tcPr>
          <w:p w:rsidR="00EC0AE8" w:rsidRDefault="004C07CC">
            <w:pPr>
              <w:jc w:val="center"/>
              <w:rPr>
                <w:rFonts w:ascii="Tahoma" w:hAnsi="Tahoma" w:cs="Tahoma"/>
                <w:sz w:val="20"/>
                <w:szCs w:val="20"/>
              </w:rPr>
            </w:pPr>
            <w:r>
              <w:rPr>
                <w:rFonts w:ascii="Tahoma" w:hAnsi="Tahoma"/>
                <w:sz w:val="20"/>
              </w:rPr>
              <w:t>9,7</w:t>
            </w:r>
          </w:p>
        </w:tc>
        <w:tc>
          <w:tcPr>
            <w:tcW w:w="1276" w:type="dxa"/>
          </w:tcPr>
          <w:p w:rsidR="00EC0AE8" w:rsidRDefault="00EC0AE8">
            <w:pPr>
              <w:jc w:val="center"/>
              <w:rPr>
                <w:rFonts w:ascii="Tahoma" w:hAnsi="Tahoma" w:cs="Tahoma"/>
                <w:sz w:val="20"/>
                <w:szCs w:val="20"/>
              </w:rPr>
            </w:pPr>
            <w:r>
              <w:rPr>
                <w:rFonts w:ascii="Tahoma" w:hAnsi="Tahoma"/>
                <w:sz w:val="20"/>
              </w:rPr>
              <w:t>mm</w:t>
            </w:r>
          </w:p>
        </w:tc>
        <w:tc>
          <w:tcPr>
            <w:tcW w:w="2267" w:type="dxa"/>
          </w:tcPr>
          <w:p w:rsidR="00EC0AE8" w:rsidRDefault="00EC0AE8">
            <w:pPr>
              <w:jc w:val="center"/>
              <w:rPr>
                <w:rFonts w:ascii="Tahoma" w:hAnsi="Tahoma" w:cs="Tahoma"/>
                <w:sz w:val="20"/>
                <w:szCs w:val="20"/>
              </w:rPr>
            </w:pPr>
          </w:p>
        </w:tc>
      </w:tr>
    </w:tbl>
    <w:p w:rsidR="003E747D" w:rsidRDefault="003E747D">
      <w:pPr>
        <w:autoSpaceDE w:val="0"/>
        <w:autoSpaceDN w:val="0"/>
        <w:spacing w:line="276" w:lineRule="auto"/>
        <w:rPr>
          <w:rFonts w:ascii="Tahoma" w:hAnsi="Tahoma" w:cs="Tahoma"/>
          <w:sz w:val="20"/>
          <w:szCs w:val="20"/>
        </w:rPr>
      </w:pPr>
    </w:p>
    <w:p w:rsidR="00E27C2C" w:rsidRDefault="00E27C2C">
      <w:pPr>
        <w:autoSpaceDE w:val="0"/>
        <w:autoSpaceDN w:val="0"/>
        <w:spacing w:line="276" w:lineRule="auto"/>
        <w:rPr>
          <w:rFonts w:ascii="Tahoma" w:hAnsi="Tahoma" w:cs="Tahoma"/>
          <w:sz w:val="20"/>
          <w:szCs w:val="20"/>
        </w:rPr>
      </w:pPr>
      <w:r>
        <w:rPr>
          <w:rFonts w:ascii="Tahoma" w:hAnsi="Tahoma"/>
          <w:sz w:val="20"/>
        </w:rPr>
        <w:t>L</w:t>
      </w:r>
      <w:r w:rsidR="00B06B91">
        <w:rPr>
          <w:rFonts w:ascii="Tahoma" w:hAnsi="Tahoma"/>
          <w:sz w:val="20"/>
        </w:rPr>
        <w:t>’</w:t>
      </w:r>
      <w:r>
        <w:rPr>
          <w:rFonts w:ascii="Tahoma" w:hAnsi="Tahoma"/>
          <w:sz w:val="20"/>
        </w:rPr>
        <w:t>aspect visuel est transparent et neutre des deux côtés.</w:t>
      </w:r>
    </w:p>
    <w:p w:rsidR="00E27C2C" w:rsidRDefault="00E27C2C">
      <w:pPr>
        <w:autoSpaceDE w:val="0"/>
        <w:autoSpaceDN w:val="0"/>
        <w:spacing w:line="276" w:lineRule="auto"/>
        <w:rPr>
          <w:rFonts w:ascii="Tahoma" w:hAnsi="Tahoma" w:cs="Tahoma"/>
          <w:sz w:val="20"/>
          <w:szCs w:val="20"/>
        </w:rPr>
      </w:pPr>
      <w:r>
        <w:rPr>
          <w:rFonts w:ascii="Tahoma" w:hAnsi="Tahoma"/>
          <w:sz w:val="20"/>
        </w:rPr>
        <w:t>Le scellement hermétique du vitrage isolant sous vide est garanti 20 ans par le fabricant.</w:t>
      </w:r>
    </w:p>
    <w:p w:rsidR="00E27C2C" w:rsidRDefault="00E27C2C">
      <w:pPr>
        <w:autoSpaceDE w:val="0"/>
        <w:autoSpaceDN w:val="0"/>
        <w:spacing w:line="276" w:lineRule="auto"/>
        <w:rPr>
          <w:rFonts w:ascii="Tahoma" w:hAnsi="Tahoma" w:cs="Tahoma"/>
          <w:sz w:val="20"/>
          <w:szCs w:val="20"/>
        </w:rPr>
      </w:pPr>
      <w:r>
        <w:rPr>
          <w:rFonts w:ascii="Tahoma" w:hAnsi="Tahoma"/>
          <w:sz w:val="20"/>
        </w:rPr>
        <w:t>L</w:t>
      </w:r>
      <w:r w:rsidR="00B06B91">
        <w:rPr>
          <w:rFonts w:ascii="Tahoma" w:hAnsi="Tahoma"/>
          <w:sz w:val="20"/>
        </w:rPr>
        <w:t>’</w:t>
      </w:r>
      <w:r>
        <w:rPr>
          <w:rFonts w:ascii="Tahoma" w:hAnsi="Tahoma"/>
          <w:sz w:val="20"/>
        </w:rPr>
        <w:t>épaisseur des feuilles de verre du vitrage isolant sous vide est fonction des dimensions du vitrage, de la charge de vent et de la charge climatique, des charges et contraintes spécifiques du projet et des propriétés mécaniques spécifiques inhérentes au vitrage.</w:t>
      </w:r>
    </w:p>
    <w:p w:rsidR="00276D38" w:rsidRDefault="00E27C2C">
      <w:pPr>
        <w:autoSpaceDE w:val="0"/>
        <w:autoSpaceDN w:val="0"/>
        <w:spacing w:line="276" w:lineRule="auto"/>
        <w:rPr>
          <w:rFonts w:ascii="Tahoma" w:hAnsi="Tahoma" w:cs="Tahoma"/>
          <w:sz w:val="20"/>
          <w:szCs w:val="20"/>
        </w:rPr>
      </w:pPr>
      <w:r>
        <w:rPr>
          <w:rFonts w:ascii="Tahoma" w:hAnsi="Tahoma"/>
          <w:sz w:val="20"/>
        </w:rPr>
        <w:t xml:space="preserve">Le verre clair recuit et la couche low-e doivent être certifiés Cradle to </w:t>
      </w:r>
      <w:proofErr w:type="spellStart"/>
      <w:r>
        <w:rPr>
          <w:rFonts w:ascii="Tahoma" w:hAnsi="Tahoma"/>
          <w:sz w:val="20"/>
        </w:rPr>
        <w:t>Cradle</w:t>
      </w:r>
      <w:proofErr w:type="spellEnd"/>
      <w:r>
        <w:rPr>
          <w:rFonts w:ascii="Tahoma" w:hAnsi="Tahoma"/>
          <w:sz w:val="20"/>
        </w:rPr>
        <w:t>® Bronze selon l</w:t>
      </w:r>
      <w:r w:rsidR="00B06B91">
        <w:rPr>
          <w:rFonts w:ascii="Tahoma" w:hAnsi="Tahoma"/>
          <w:sz w:val="20"/>
        </w:rPr>
        <w:t>’</w:t>
      </w:r>
      <w:r>
        <w:rPr>
          <w:rFonts w:ascii="Tahoma" w:hAnsi="Tahoma"/>
          <w:sz w:val="20"/>
        </w:rPr>
        <w:t xml:space="preserve">organisme </w:t>
      </w:r>
      <w:proofErr w:type="gramStart"/>
      <w:r>
        <w:rPr>
          <w:rFonts w:ascii="Tahoma" w:hAnsi="Tahoma"/>
          <w:sz w:val="20"/>
        </w:rPr>
        <w:t>de</w:t>
      </w:r>
      <w:proofErr w:type="gramEnd"/>
      <w:r>
        <w:rPr>
          <w:rFonts w:ascii="Tahoma" w:hAnsi="Tahoma"/>
          <w:sz w:val="20"/>
        </w:rPr>
        <w:t xml:space="preserve"> certification indépendant MBDC.</w:t>
      </w:r>
    </w:p>
    <w:p w:rsidR="00E27C2C" w:rsidRDefault="00E27C2C">
      <w:pPr>
        <w:autoSpaceDE w:val="0"/>
        <w:autoSpaceDN w:val="0"/>
        <w:rPr>
          <w:rFonts w:ascii="Tahoma" w:hAnsi="Tahoma" w:cs="Tahoma"/>
          <w:sz w:val="20"/>
          <w:szCs w:val="20"/>
        </w:rPr>
      </w:pPr>
    </w:p>
    <w:p w:rsidR="00427C39" w:rsidRDefault="00E27C2C">
      <w:pPr>
        <w:pStyle w:val="ListParagraph"/>
        <w:numPr>
          <w:ilvl w:val="0"/>
          <w:numId w:val="2"/>
        </w:numPr>
        <w:rPr>
          <w:rFonts w:ascii="Tahoma" w:hAnsi="Tahoma" w:cs="Tahoma"/>
          <w:sz w:val="20"/>
          <w:szCs w:val="20"/>
        </w:rPr>
      </w:pPr>
      <w:r>
        <w:rPr>
          <w:rFonts w:ascii="Tahoma" w:hAnsi="Tahoma"/>
          <w:sz w:val="20"/>
        </w:rPr>
        <w:t>Ces valeurs sont calculées sur la base de mesures spectrales conformément aux normes EN 140 et ISO 9050:1990. La valeur U est calculée sur la base de la norme EN 673 et mesurée conformément à EN 674. La mesure d</w:t>
      </w:r>
      <w:r w:rsidR="00B06B91">
        <w:rPr>
          <w:rFonts w:ascii="Tahoma" w:hAnsi="Tahoma"/>
          <w:sz w:val="20"/>
        </w:rPr>
        <w:t>’</w:t>
      </w:r>
      <w:r>
        <w:rPr>
          <w:rFonts w:ascii="Tahoma" w:hAnsi="Tahoma"/>
          <w:sz w:val="20"/>
        </w:rPr>
        <w:t>émissivité répond aux normes EN 673 (Annexe A) et EN</w:t>
      </w:r>
      <w:r w:rsidR="00B06B91">
        <w:rPr>
          <w:rFonts w:ascii="Tahoma" w:hAnsi="Tahoma"/>
          <w:sz w:val="20"/>
        </w:rPr>
        <w:t> </w:t>
      </w:r>
      <w:r>
        <w:rPr>
          <w:rFonts w:ascii="Tahoma" w:hAnsi="Tahoma"/>
          <w:sz w:val="20"/>
        </w:rPr>
        <w:t>12898.</w:t>
      </w:r>
    </w:p>
    <w:sectPr w:rsidR="00427C3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B0F" w:rsidRDefault="00273B0F">
      <w:r>
        <w:separator/>
      </w:r>
    </w:p>
  </w:endnote>
  <w:endnote w:type="continuationSeparator" w:id="0">
    <w:p w:rsidR="00273B0F" w:rsidRDefault="0027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B0F" w:rsidRDefault="00273B0F">
      <w:r>
        <w:separator/>
      </w:r>
    </w:p>
  </w:footnote>
  <w:footnote w:type="continuationSeparator" w:id="0">
    <w:p w:rsidR="00273B0F" w:rsidRDefault="00273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B02" w:rsidRPr="002538BA" w:rsidRDefault="00F5248F">
    <w:pPr>
      <w:pStyle w:val="Header"/>
    </w:pPr>
    <w:r>
      <w:rPr>
        <w:noProof/>
      </w:rPr>
      <w:fldChar w:fldCharType="begin"/>
    </w:r>
    <w:r>
      <w:rPr>
        <w:noProof/>
      </w:rPr>
      <w:instrText xml:space="preserve"> FILENAME   \* MERGEFORMAT </w:instrText>
    </w:r>
    <w:r>
      <w:rPr>
        <w:noProof/>
      </w:rPr>
      <w:fldChar w:fldCharType="separate"/>
    </w:r>
    <w:r w:rsidR="00DC79E8">
      <w:rPr>
        <w:noProof/>
      </w:rPr>
      <w:t xml:space="preserve">TECH - FINEO </w:t>
    </w:r>
    <w:r w:rsidR="00B743E9">
      <w:rPr>
        <w:noProof/>
      </w:rPr>
      <w:t>10T</w:t>
    </w:r>
    <w:r w:rsidR="00DC79E8">
      <w:rPr>
        <w:noProof/>
      </w:rPr>
      <w:t xml:space="preserve"> - Specifications - 202</w:t>
    </w:r>
    <w:r w:rsidR="004A693C">
      <w:rPr>
        <w:noProof/>
      </w:rPr>
      <w:t>5</w:t>
    </w:r>
    <w:r w:rsidR="00DC79E8">
      <w:rPr>
        <w:noProof/>
      </w:rPr>
      <w:t xml:space="preserve"> 0</w:t>
    </w:r>
    <w:r w:rsidR="00053CF4">
      <w:rPr>
        <w:noProof/>
      </w:rPr>
      <w:t>3</w:t>
    </w:r>
    <w:r w:rsidR="00DC79E8">
      <w:rPr>
        <w:noProof/>
      </w:rPr>
      <w:t xml:space="preserve"> </w:t>
    </w:r>
    <w:r w:rsidR="00053CF4">
      <w:rPr>
        <w:noProof/>
      </w:rPr>
      <w:t>07</w:t>
    </w:r>
    <w:r w:rsidR="00DC79E8">
      <w:rPr>
        <w:noProof/>
      </w:rPr>
      <w:t xml:space="preserve"> - UK</w:t>
    </w:r>
    <w:r>
      <w:rPr>
        <w:noProof/>
      </w:rPr>
      <w:fldChar w:fldCharType="end"/>
    </w:r>
    <w:r>
      <w:rPr>
        <w:noProof/>
        <w:lang w:bidi="ar-SA"/>
      </w:rPr>
      <mc:AlternateContent>
        <mc:Choice Requires="wps">
          <w:drawing>
            <wp:anchor distT="0" distB="0" distL="114300" distR="114300" simplePos="0" relativeHeight="251659264" behindDoc="0" locked="0" layoutInCell="0" allowOverlap="1" wp14:anchorId="15391427" wp14:editId="15391428">
              <wp:simplePos x="0" y="0"/>
              <wp:positionH relativeFrom="page">
                <wp:posOffset>0</wp:posOffset>
              </wp:positionH>
              <wp:positionV relativeFrom="page">
                <wp:posOffset>190500</wp:posOffset>
              </wp:positionV>
              <wp:extent cx="7772400" cy="273050"/>
              <wp:effectExtent l="0" t="0" r="0" b="12700"/>
              <wp:wrapNone/>
              <wp:docPr id="1" name="MSIPCM18ba45f6999e0f5d1094e47e" descr="{&amp;amp;quot;HashCode&amp;amp;quot;:-1401405194,&amp;amp;quot;Height&amp;amp;quot;:792.0,&amp;amp;quot;Width&amp;amp;quot;:612.0,&amp;amp;quot;Placement&amp;amp;quot;:&amp;amp;quot;Header&amp;amp;quot;,&amp;amp;quot;Index&amp;amp;quot;:&amp;amp;quot;Primary&amp;amp;quot;,&amp;amp;quot;Section&amp;amp;quot;:1,&amp;amp;quot;Top&amp;amp;quot;:0.0,&amp;amp;quot;Left&amp;amp;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2B02" w:rsidRPr="009A2B02" w:rsidRDefault="009A2B0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391427" id="_x0000_t202" coordsize="21600,21600" o:spt="202" path="m,l,21600r21600,l21600,xe">
              <v:stroke joinstyle="miter"/>
              <v:path gradientshapeok="t" o:connecttype="rect"/>
            </v:shapetype>
            <v:shape id="MSIPCM18ba45f6999e0f5d1094e47e" o:spid="_x0000_s1026" type="#_x0000_t202" alt="{&amp;amp;quot;HashCode&amp;amp;quot;:-1401405194,&amp;amp;quot;Height&amp;amp;quot;:792.0,&amp;amp;quot;Width&amp;amp;quot;:612.0,&amp;amp;quot;Placement&amp;amp;quot;:&amp;amp;quot;Header&amp;amp;quot;,&amp;amp;quot;Index&amp;amp;quot;:&amp;amp;quot;Primary&amp;amp;quot;,&amp;amp;quot;Section&amp;amp;quot;:1,&amp;amp;quot;Top&amp;amp;quot;:0.0,&amp;amp;quot;Left&amp;amp;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oJnX53kDAADoBwAADgAAAAAAAAAAAAAAAAAuAgAAZHJzL2Uyb0RvYy54bWxQ&#10;SwECLQAUAAYACAAAACEALgDyE9sAAAAHAQAADwAAAAAAAAAAAAAAAADTBQAAZHJzL2Rvd25yZXYu&#10;eG1sUEsFBgAAAAAEAAQA8wAAANsGAAAAAA==&#10;" o:allowincell="f" filled="f" stroked="f" strokeweight=".5pt">
              <v:textbox inset=",0,,0">
                <w:txbxContent>
                  <w:p w:rsidR="009A2B02" w:rsidRPr="009A2B02" w:rsidRDefault="009A2B02" w:rsidP="009A2B02">
                    <w:pPr>
                      <w:jc w:val="center"/>
                      <w:rPr>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02"/>
    <w:rsid w:val="00007AB0"/>
    <w:rsid w:val="00053CF4"/>
    <w:rsid w:val="00055C05"/>
    <w:rsid w:val="000C7951"/>
    <w:rsid w:val="00122CC9"/>
    <w:rsid w:val="001246F0"/>
    <w:rsid w:val="0016443B"/>
    <w:rsid w:val="00164675"/>
    <w:rsid w:val="001C2193"/>
    <w:rsid w:val="001C6ABB"/>
    <w:rsid w:val="001F70C0"/>
    <w:rsid w:val="00212937"/>
    <w:rsid w:val="00225EA3"/>
    <w:rsid w:val="002538BA"/>
    <w:rsid w:val="002608F4"/>
    <w:rsid w:val="00273B0F"/>
    <w:rsid w:val="00276D38"/>
    <w:rsid w:val="0029647D"/>
    <w:rsid w:val="00350A2B"/>
    <w:rsid w:val="00377384"/>
    <w:rsid w:val="00392CA1"/>
    <w:rsid w:val="003A1F97"/>
    <w:rsid w:val="003E747D"/>
    <w:rsid w:val="00427C39"/>
    <w:rsid w:val="0043455C"/>
    <w:rsid w:val="004477CB"/>
    <w:rsid w:val="004574FA"/>
    <w:rsid w:val="0046619D"/>
    <w:rsid w:val="004A693C"/>
    <w:rsid w:val="004C07CC"/>
    <w:rsid w:val="004C4E5C"/>
    <w:rsid w:val="004D6853"/>
    <w:rsid w:val="00586843"/>
    <w:rsid w:val="005D4085"/>
    <w:rsid w:val="00613B3B"/>
    <w:rsid w:val="006415ED"/>
    <w:rsid w:val="00676172"/>
    <w:rsid w:val="00715852"/>
    <w:rsid w:val="00720107"/>
    <w:rsid w:val="007409FE"/>
    <w:rsid w:val="00757507"/>
    <w:rsid w:val="00764B58"/>
    <w:rsid w:val="007D4E99"/>
    <w:rsid w:val="007E67CA"/>
    <w:rsid w:val="00817A49"/>
    <w:rsid w:val="008A5849"/>
    <w:rsid w:val="008E1F89"/>
    <w:rsid w:val="0090367C"/>
    <w:rsid w:val="00914E76"/>
    <w:rsid w:val="00916870"/>
    <w:rsid w:val="00934964"/>
    <w:rsid w:val="00942A00"/>
    <w:rsid w:val="009700A7"/>
    <w:rsid w:val="009739C2"/>
    <w:rsid w:val="009A2B02"/>
    <w:rsid w:val="009A6B3E"/>
    <w:rsid w:val="009B08A3"/>
    <w:rsid w:val="00A0259E"/>
    <w:rsid w:val="00A07E51"/>
    <w:rsid w:val="00B06B91"/>
    <w:rsid w:val="00B743E9"/>
    <w:rsid w:val="00BA11CA"/>
    <w:rsid w:val="00BA62F9"/>
    <w:rsid w:val="00BC6E62"/>
    <w:rsid w:val="00BE7229"/>
    <w:rsid w:val="00C5499A"/>
    <w:rsid w:val="00CC155E"/>
    <w:rsid w:val="00D31E5F"/>
    <w:rsid w:val="00DB63BE"/>
    <w:rsid w:val="00DC79E8"/>
    <w:rsid w:val="00DE3B43"/>
    <w:rsid w:val="00DE55C6"/>
    <w:rsid w:val="00DF5F9C"/>
    <w:rsid w:val="00E06852"/>
    <w:rsid w:val="00E27C2C"/>
    <w:rsid w:val="00E40165"/>
    <w:rsid w:val="00E43DE9"/>
    <w:rsid w:val="00E4539D"/>
    <w:rsid w:val="00E5018B"/>
    <w:rsid w:val="00E72B66"/>
    <w:rsid w:val="00EC0AE8"/>
    <w:rsid w:val="00F10293"/>
    <w:rsid w:val="00F437C5"/>
    <w:rsid w:val="00F5248F"/>
    <w:rsid w:val="00F5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E9B636-8F60-4EBF-82A7-AF88FF00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D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02"/>
    <w:pPr>
      <w:tabs>
        <w:tab w:val="center" w:pos="4680"/>
        <w:tab w:val="right" w:pos="9360"/>
      </w:tabs>
    </w:pPr>
  </w:style>
  <w:style w:type="character" w:customStyle="1" w:styleId="HeaderChar">
    <w:name w:val="Header Char"/>
    <w:basedOn w:val="DefaultParagraphFont"/>
    <w:link w:val="Header"/>
    <w:uiPriority w:val="99"/>
    <w:rsid w:val="009A2B02"/>
  </w:style>
  <w:style w:type="paragraph" w:styleId="Footer">
    <w:name w:val="footer"/>
    <w:basedOn w:val="Normal"/>
    <w:link w:val="FooterChar"/>
    <w:uiPriority w:val="99"/>
    <w:unhideWhenUsed/>
    <w:rsid w:val="009A2B02"/>
    <w:pPr>
      <w:tabs>
        <w:tab w:val="center" w:pos="4680"/>
        <w:tab w:val="right" w:pos="9360"/>
      </w:tabs>
    </w:pPr>
  </w:style>
  <w:style w:type="character" w:customStyle="1" w:styleId="FooterChar">
    <w:name w:val="Footer Char"/>
    <w:basedOn w:val="DefaultParagraphFont"/>
    <w:link w:val="Footer"/>
    <w:uiPriority w:val="99"/>
    <w:rsid w:val="009A2B02"/>
  </w:style>
  <w:style w:type="paragraph" w:styleId="ListParagraph">
    <w:name w:val="List Paragraph"/>
    <w:basedOn w:val="Normal"/>
    <w:uiPriority w:val="34"/>
    <w:qFormat/>
    <w:rsid w:val="00276D38"/>
    <w:pPr>
      <w:ind w:left="720"/>
    </w:pPr>
  </w:style>
  <w:style w:type="table" w:styleId="TableGrid">
    <w:name w:val="Table Grid"/>
    <w:basedOn w:val="TableNormal"/>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4542b5-9512-489e-8b92-c0f793fdc96b">SCW3DH4A5WXC-1348424226-161805</_dlc_DocId>
    <_dlc_DocIdUrl xmlns="dd4542b5-9512-489e-8b92-c0f793fdc96b">
      <Url>https://agcgreur.sharepoint.com/sites/Fineo/_layouts/15/DocIdRedir.aspx?ID=SCW3DH4A5WXC-1348424226-161805</Url>
      <Description>SCW3DH4A5WXC-1348424226-161805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2" ma:contentTypeDescription="Create a new document." ma:contentTypeScope="" ma:versionID="3ab3ef5c2ebebac2cd0228458d9c516d">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e39aadd96850e0d9214689d77936b70c"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315C8-495E-4194-B1BB-25BD681BCE16}">
  <ds:schemaRefs>
    <ds:schemaRef ds:uri="http://schemas.microsoft.com/office/2006/metadata/properties"/>
    <ds:schemaRef ds:uri="http://schemas.microsoft.com/office/infopath/2007/PartnerControls"/>
    <ds:schemaRef ds:uri="dd4542b5-9512-489e-8b92-c0f793fdc96b"/>
  </ds:schemaRefs>
</ds:datastoreItem>
</file>

<file path=customXml/itemProps2.xml><?xml version="1.0" encoding="utf-8"?>
<ds:datastoreItem xmlns:ds="http://schemas.openxmlformats.org/officeDocument/2006/customXml" ds:itemID="{6E8C7283-F45F-4134-9CE7-0878136BA430}">
  <ds:schemaRefs>
    <ds:schemaRef ds:uri="http://schemas.microsoft.com/sharepoint/events"/>
  </ds:schemaRefs>
</ds:datastoreItem>
</file>

<file path=customXml/itemProps3.xml><?xml version="1.0" encoding="utf-8"?>
<ds:datastoreItem xmlns:ds="http://schemas.openxmlformats.org/officeDocument/2006/customXml" ds:itemID="{7D3C8FF0-BEBD-4F47-B778-128D0DA68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80320-3C2F-440C-BF70-F3013BB2F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KAV</cp:lastModifiedBy>
  <cp:revision>25</cp:revision>
  <dcterms:created xsi:type="dcterms:W3CDTF">2020-06-24T13:22:00Z</dcterms:created>
  <dcterms:modified xsi:type="dcterms:W3CDTF">2025-04-04T09:44:00Z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ContentTypeId">
    <vt:lpwstr>0x010100EA8999ECB9F50341B5565A33F17A0115</vt:lpwstr>
  </property>
  <property fmtid="{D5CDD505-2E9C-101B-9397-08002B2CF9AE}" pid="10" name="_dlc_DocIdItemGuid">
    <vt:lpwstr>adcacf78-e8d0-4d35-9665-bf6dbc5efcc5</vt:lpwstr>
  </property>
  <property fmtid="{D5CDD505-2E9C-101B-9397-08002B2CF9AE}" pid="11" name="Order">
    <vt:r8>16180500</vt:r8>
  </property>
  <property fmtid="{D5CDD505-2E9C-101B-9397-08002B2CF9AE}" pid="12" name="_ExtendedDescription">
    <vt:lpwstr/>
  </property>
  <property fmtid="{D5CDD505-2E9C-101B-9397-08002B2CF9AE}" pid="13" name="MSIP_Label_9b500289-1a9c-442f-923d-4f95209608d2_Enabled">
    <vt:lpwstr>true</vt:lpwstr>
  </property>
  <property fmtid="{D5CDD505-2E9C-101B-9397-08002B2CF9AE}" pid="14" name="MSIP_Label_9b500289-1a9c-442f-923d-4f95209608d2_SetDate">
    <vt:lpwstr>2025-01-13T13:42:04Z</vt:lpwstr>
  </property>
  <property fmtid="{D5CDD505-2E9C-101B-9397-08002B2CF9AE}" pid="15" name="MSIP_Label_9b500289-1a9c-442f-923d-4f95209608d2_Method">
    <vt:lpwstr>Privileged</vt:lpwstr>
  </property>
  <property fmtid="{D5CDD505-2E9C-101B-9397-08002B2CF9AE}" pid="16" name="MSIP_Label_9b500289-1a9c-442f-923d-4f95209608d2_Name">
    <vt:lpwstr>GCEP2 - Others</vt:lpwstr>
  </property>
  <property fmtid="{D5CDD505-2E9C-101B-9397-08002B2CF9AE}" pid="17" name="MSIP_Label_9b500289-1a9c-442f-923d-4f95209608d2_SiteId">
    <vt:lpwstr>90c56ca2-d892-45ce-810d-6cf368facdb3</vt:lpwstr>
  </property>
  <property fmtid="{D5CDD505-2E9C-101B-9397-08002B2CF9AE}" pid="18" name="MSIP_Label_9b500289-1a9c-442f-923d-4f95209608d2_ActionId">
    <vt:lpwstr>c0518b5a-d00f-42e2-a914-364368dac3e4</vt:lpwstr>
  </property>
  <property fmtid="{D5CDD505-2E9C-101B-9397-08002B2CF9AE}" pid="19" name="MSIP_Label_9b500289-1a9c-442f-923d-4f95209608d2_ContentBits">
    <vt:lpwstr>0</vt:lpwstr>
  </property>
</Properties>
</file>