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94977" w14:textId="77777777"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02194978" w14:textId="77777777" w:rsidR="00720107" w:rsidRPr="00111348" w:rsidRDefault="002608F4" w:rsidP="00720107">
      <w:pPr>
        <w:jc w:val="center"/>
        <w:rPr>
          <w:rFonts w:ascii="Tahoma" w:hAnsi="Tahoma" w:cs="Tahoma"/>
          <w:b/>
          <w:szCs w:val="20"/>
          <w:lang w:val="fr-BE" w:eastAsia="ja-JP"/>
        </w:rPr>
      </w:pPr>
      <w:r w:rsidRPr="00111348">
        <w:rPr>
          <w:rFonts w:ascii="Tahoma" w:hAnsi="Tahoma" w:cs="Tahoma"/>
          <w:b/>
          <w:szCs w:val="20"/>
          <w:lang w:val="fr-BE" w:eastAsia="ja-JP"/>
        </w:rPr>
        <w:t xml:space="preserve">FINEO </w:t>
      </w:r>
      <w:r w:rsidR="004019BB" w:rsidRPr="004019BB">
        <w:rPr>
          <w:rFonts w:ascii="Tahoma" w:hAnsi="Tahoma" w:cs="Tahoma"/>
          <w:b/>
          <w:szCs w:val="20"/>
          <w:lang w:val="fr-BE" w:eastAsia="ja-JP"/>
        </w:rPr>
        <w:t>Acoustic 39dB v401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–</w:t>
      </w:r>
      <w:r w:rsidR="000C7951" w:rsidRPr="00111348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111348">
        <w:rPr>
          <w:rFonts w:ascii="Tahoma" w:hAnsi="Tahoma" w:cs="Tahoma"/>
          <w:b/>
          <w:szCs w:val="20"/>
          <w:lang w:val="fr-BE" w:eastAsia="ja-JP"/>
        </w:rPr>
        <w:t>V</w:t>
      </w:r>
      <w:r w:rsidR="00E369B6" w:rsidRPr="00111348">
        <w:rPr>
          <w:rFonts w:ascii="Tahoma" w:hAnsi="Tahoma" w:cs="Tahoma"/>
          <w:b/>
          <w:szCs w:val="20"/>
          <w:lang w:val="fr-BE" w:eastAsia="ja-JP"/>
        </w:rPr>
        <w:t>itrage isolant sous vide</w:t>
      </w:r>
      <w:r w:rsidR="004019BB">
        <w:rPr>
          <w:rFonts w:ascii="Tahoma" w:hAnsi="Tahoma" w:cs="Tahoma"/>
          <w:b/>
          <w:szCs w:val="20"/>
          <w:lang w:val="fr-BE" w:eastAsia="ja-JP"/>
        </w:rPr>
        <w:t xml:space="preserve"> version</w:t>
      </w:r>
      <w:r w:rsidR="006E33DC">
        <w:rPr>
          <w:rFonts w:ascii="Tahoma" w:hAnsi="Tahoma" w:cs="Tahoma"/>
          <w:b/>
          <w:szCs w:val="20"/>
          <w:lang w:val="fr-BE" w:eastAsia="ja-JP"/>
        </w:rPr>
        <w:t xml:space="preserve"> </w:t>
      </w:r>
      <w:r w:rsidR="004019BB">
        <w:rPr>
          <w:rFonts w:ascii="Tahoma" w:hAnsi="Tahoma" w:cs="Tahoma"/>
          <w:b/>
          <w:szCs w:val="20"/>
          <w:lang w:val="fr-BE" w:eastAsia="ja-JP"/>
        </w:rPr>
        <w:t>acoustique</w:t>
      </w:r>
    </w:p>
    <w:p w14:paraId="02194979" w14:textId="77777777" w:rsidR="003A1F97" w:rsidRPr="00111348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fr-BE" w:eastAsia="ja-JP"/>
        </w:rPr>
      </w:pPr>
    </w:p>
    <w:p w14:paraId="0219497A" w14:textId="77777777" w:rsidR="00CB1989" w:rsidRPr="006E33DC" w:rsidRDefault="004019BB" w:rsidP="001D0607">
      <w:pPr>
        <w:rPr>
          <w:rFonts w:ascii="Tahoma" w:hAnsi="Tahoma" w:cs="Tahoma"/>
          <w:sz w:val="20"/>
          <w:szCs w:val="20"/>
          <w:lang w:val="fr-BE" w:eastAsia="ja-JP"/>
        </w:rPr>
      </w:pPr>
      <w:r>
        <w:rPr>
          <w:rFonts w:ascii="Tahoma" w:hAnsi="Tahoma" w:cs="Tahoma"/>
          <w:sz w:val="20"/>
          <w:szCs w:val="20"/>
          <w:lang w:val="fr-BE" w:eastAsia="ja-JP"/>
        </w:rPr>
        <w:t>U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 xml:space="preserve">n verre isolant sous vide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acoustique est composé d’un </w:t>
      </w:r>
      <w:r w:rsidRPr="006E33DC">
        <w:rPr>
          <w:rFonts w:ascii="Tahoma" w:hAnsi="Tahoma" w:cs="Tahoma"/>
          <w:sz w:val="20"/>
          <w:szCs w:val="20"/>
          <w:lang w:val="fr-BE" w:eastAsia="ja-JP"/>
        </w:rPr>
        <w:t xml:space="preserve">verre isolant sous vide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avec un verre 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 xml:space="preserve">feuilleté </w:t>
      </w:r>
      <w:r>
        <w:rPr>
          <w:rFonts w:ascii="Tahoma" w:hAnsi="Tahoma" w:cs="Tahoma"/>
          <w:sz w:val="20"/>
          <w:szCs w:val="20"/>
          <w:lang w:val="fr-BE" w:eastAsia="ja-JP"/>
        </w:rPr>
        <w:t>sur la face extérieure</w:t>
      </w:r>
      <w:r w:rsidR="00CB1989">
        <w:rPr>
          <w:rFonts w:ascii="Tahoma" w:hAnsi="Tahoma" w:cs="Tahoma"/>
          <w:sz w:val="20"/>
          <w:szCs w:val="20"/>
          <w:lang w:val="fr-BE" w:eastAsia="ja-JP"/>
        </w:rPr>
        <w:t xml:space="preserve"> à l’aide de 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 xml:space="preserve">feuilles </w:t>
      </w:r>
      <w:r w:rsidR="00CB1989">
        <w:rPr>
          <w:rFonts w:ascii="Tahoma" w:hAnsi="Tahoma" w:cs="Tahoma"/>
          <w:sz w:val="20"/>
          <w:szCs w:val="20"/>
          <w:lang w:val="fr-BE" w:eastAsia="ja-JP"/>
        </w:rPr>
        <w:t>d’</w:t>
      </w:r>
      <w:r w:rsidR="00CB1989" w:rsidRPr="006E33DC">
        <w:rPr>
          <w:rFonts w:ascii="Tahoma" w:hAnsi="Tahoma" w:cs="Tahoma"/>
          <w:sz w:val="20"/>
          <w:szCs w:val="20"/>
          <w:lang w:val="fr-BE" w:eastAsia="ja-JP"/>
        </w:rPr>
        <w:t>EVA (éthyl vinyl acétate).</w:t>
      </w:r>
    </w:p>
    <w:p w14:paraId="0219497B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0219497C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 vitrage isolant sous vide se compose de deux feuilles de verre clair recuit</w:t>
      </w:r>
      <w:r>
        <w:rPr>
          <w:rFonts w:ascii="Tahoma" w:hAnsi="Tahoma" w:cs="Tahoma"/>
          <w:sz w:val="20"/>
          <w:szCs w:val="20"/>
          <w:lang w:val="fr-BE" w:eastAsia="ja-JP"/>
        </w:rPr>
        <w:t>,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conformes à la norme EN572,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séparées par une cavité sous vide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 de 0,1mm d’épaisseur. Cette cavité est maintenue par des micro-intercalaires répartis selon une grille carrée de 20mm de côté et est scellée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au moyen d'un joint de bord inorganique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et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sans plomb spécialement développé pour les applications sous vide. Ce joint de bord offre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par ailleurs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une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très grande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résistance mécanique et une étanchéité </w:t>
      </w:r>
      <w:r>
        <w:rPr>
          <w:rFonts w:ascii="Tahoma" w:hAnsi="Tahoma" w:cs="Tahoma"/>
          <w:sz w:val="20"/>
          <w:szCs w:val="20"/>
          <w:lang w:val="fr-BE" w:eastAsia="ja-JP"/>
        </w:rPr>
        <w:t>parfaite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0219497D" w14:textId="77777777" w:rsidR="00CB1989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0219497E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Un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selon </w:t>
      </w:r>
      <w:r>
        <w:rPr>
          <w:rFonts w:ascii="Tahoma" w:hAnsi="Tahoma" w:cs="Tahoma"/>
          <w:sz w:val="20"/>
          <w:szCs w:val="20"/>
          <w:lang w:val="fr-BE" w:eastAsia="ja-JP"/>
        </w:rPr>
        <w:t>la norme EN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1096 est appliqué</w:t>
      </w:r>
      <w:r>
        <w:rPr>
          <w:rFonts w:ascii="Tahoma" w:hAnsi="Tahoma" w:cs="Tahoma"/>
          <w:sz w:val="20"/>
          <w:szCs w:val="20"/>
          <w:lang w:val="fr-BE" w:eastAsia="ja-JP"/>
        </w:rPr>
        <w:t>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sur l’une des deux feuilles de verre et est orientée du côté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la cavité sous vide.</w:t>
      </w:r>
    </w:p>
    <w:p w14:paraId="0219497F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02194980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Ce vitrage isolant sous vide, sans orifice d'évacuation, possède un getter linéaire dans la zone de bord de la cavité sous vide où </w:t>
      </w:r>
      <w:r>
        <w:rPr>
          <w:rFonts w:ascii="Tahoma" w:hAnsi="Tahoma" w:cs="Tahoma"/>
          <w:sz w:val="20"/>
          <w:szCs w:val="20"/>
          <w:lang w:val="fr-BE" w:eastAsia="ja-JP"/>
        </w:rPr>
        <w:t>la couche est émargée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.</w:t>
      </w:r>
    </w:p>
    <w:p w14:paraId="02194981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</w:p>
    <w:p w14:paraId="02194982" w14:textId="77777777" w:rsidR="00CB1989" w:rsidRPr="00111348" w:rsidRDefault="00CB1989" w:rsidP="001D0607">
      <w:p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Principales propriétés lumineuses et énergétiques d'une composition </w:t>
      </w:r>
      <w:r w:rsidRPr="00111348">
        <w:rPr>
          <w:rFonts w:ascii="Tahoma" w:hAnsi="Tahoma" w:cs="Tahoma"/>
          <w:sz w:val="20"/>
          <w:szCs w:val="20"/>
          <w:vertAlign w:val="superscript"/>
          <w:lang w:val="fr-BE" w:eastAsia="ja-JP"/>
        </w:rPr>
        <w:t>(1)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:</w:t>
      </w:r>
    </w:p>
    <w:p w14:paraId="02194983" w14:textId="77777777" w:rsidR="004F34BB" w:rsidRPr="004F34BB" w:rsidRDefault="004F34BB" w:rsidP="00CB1989">
      <w:pPr>
        <w:rPr>
          <w:rFonts w:ascii="Tahoma" w:hAnsi="Tahoma" w:cs="Tahoma"/>
          <w:sz w:val="20"/>
          <w:szCs w:val="20"/>
          <w:lang w:val="fr-BE" w:eastAsia="ja-JP"/>
        </w:rPr>
      </w:pPr>
      <w:r w:rsidRPr="004F34BB">
        <w:rPr>
          <w:rFonts w:ascii="Tahoma" w:hAnsi="Tahoma" w:cs="Tahoma"/>
          <w:sz w:val="20"/>
          <w:szCs w:val="20"/>
          <w:lang w:val="fr-BE" w:eastAsia="ja-JP"/>
        </w:rPr>
        <w:t>3mm verre clair recuit / 0,8mm film eva / 8mm vacuum insulating glazing (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cavité sous vide de 0,1 mm et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</w:t>
      </w:r>
      <w:r w:rsidRPr="004F34BB">
        <w:rPr>
          <w:rFonts w:ascii="Tahoma" w:hAnsi="Tahoma" w:cs="Tahoma"/>
          <w:sz w:val="20"/>
          <w:szCs w:val="20"/>
          <w:lang w:val="fr-BE" w:eastAsia="ja-JP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14:paraId="02194988" w14:textId="77777777" w:rsidTr="002608F4">
        <w:tc>
          <w:tcPr>
            <w:tcW w:w="4248" w:type="dxa"/>
            <w:shd w:val="clear" w:color="auto" w:fill="00B0F0"/>
          </w:tcPr>
          <w:p w14:paraId="02194984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Charactéristique</w:t>
            </w:r>
          </w:p>
        </w:tc>
        <w:tc>
          <w:tcPr>
            <w:tcW w:w="2126" w:type="dxa"/>
            <w:shd w:val="clear" w:color="auto" w:fill="00B0F0"/>
          </w:tcPr>
          <w:p w14:paraId="02194985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Valeur</w:t>
            </w:r>
          </w:p>
        </w:tc>
        <w:tc>
          <w:tcPr>
            <w:tcW w:w="1701" w:type="dxa"/>
            <w:shd w:val="clear" w:color="auto" w:fill="00B0F0"/>
          </w:tcPr>
          <w:p w14:paraId="02194986" w14:textId="77777777"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Unit</w:t>
            </w:r>
            <w:r w:rsidR="00111348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é</w:t>
            </w:r>
          </w:p>
        </w:tc>
        <w:tc>
          <w:tcPr>
            <w:tcW w:w="1275" w:type="dxa"/>
            <w:shd w:val="clear" w:color="auto" w:fill="00B0F0"/>
          </w:tcPr>
          <w:p w14:paraId="02194987" w14:textId="77777777" w:rsidR="00A07E51" w:rsidRPr="003A1F97" w:rsidRDefault="00111348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Norme EN</w:t>
            </w:r>
          </w:p>
        </w:tc>
      </w:tr>
      <w:tr w:rsidR="00007AB0" w:rsidRPr="003A1F97" w14:paraId="0219498D" w14:textId="77777777" w:rsidTr="002608F4">
        <w:tc>
          <w:tcPr>
            <w:tcW w:w="4248" w:type="dxa"/>
          </w:tcPr>
          <w:p w14:paraId="02194989" w14:textId="77777777" w:rsidR="00007AB0" w:rsidRPr="003A1F97" w:rsidRDefault="00E27C2C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T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L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</w:t>
            </w:r>
            <w:r w:rsidR="00C5499A">
              <w:rPr>
                <w:rFonts w:ascii="Tahoma" w:hAnsi="Tahoma" w:cs="Tahoma"/>
                <w:sz w:val="20"/>
                <w:szCs w:val="20"/>
                <w:lang w:val="nl-NL" w:eastAsia="ja-JP"/>
              </w:rPr>
              <w:t>–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T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ransmission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lumineuse</w:t>
            </w:r>
          </w:p>
        </w:tc>
        <w:tc>
          <w:tcPr>
            <w:tcW w:w="2126" w:type="dxa"/>
          </w:tcPr>
          <w:p w14:paraId="0219498A" w14:textId="3FFF9E54"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</w:t>
            </w:r>
            <w:r w:rsidR="005963C4">
              <w:rPr>
                <w:rFonts w:ascii="Tahoma" w:hAnsi="Tahoma" w:cs="Tahoma"/>
                <w:sz w:val="20"/>
                <w:szCs w:val="20"/>
                <w:lang w:val="nl-NL" w:eastAsia="ja-JP"/>
              </w:rPr>
              <w:t>8</w:t>
            </w:r>
          </w:p>
        </w:tc>
        <w:tc>
          <w:tcPr>
            <w:tcW w:w="1701" w:type="dxa"/>
          </w:tcPr>
          <w:p w14:paraId="0219498B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14:paraId="0219498C" w14:textId="77777777" w:rsidR="00007AB0" w:rsidRPr="003A1F97" w:rsidRDefault="00007AB0" w:rsidP="00E43DE9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007AB0" w:rsidRPr="003A1F97" w14:paraId="02194992" w14:textId="77777777" w:rsidTr="002608F4">
        <w:tc>
          <w:tcPr>
            <w:tcW w:w="4248" w:type="dxa"/>
          </w:tcPr>
          <w:p w14:paraId="0219498E" w14:textId="77777777" w:rsidR="00007AB0" w:rsidRPr="00111348" w:rsidRDefault="00E27C2C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fr-BE" w:eastAsia="ja-JP"/>
              </w:rPr>
            </w:pP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L ext / 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L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in</w:t>
            </w:r>
            <w:r w:rsidR="00111348"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t</w:t>
            </w:r>
            <w:r w:rsidRP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 xml:space="preserve"> –</w:t>
            </w:r>
            <w:r w:rsidR="00111348">
              <w:rPr>
                <w:rFonts w:ascii="Tahoma" w:hAnsi="Tahoma" w:cs="Tahoma"/>
                <w:sz w:val="20"/>
                <w:szCs w:val="20"/>
                <w:lang w:val="fr-BE" w:eastAsia="ja-JP"/>
              </w:rPr>
              <w:t>Réflexion lumineuse</w:t>
            </w:r>
          </w:p>
        </w:tc>
        <w:tc>
          <w:tcPr>
            <w:tcW w:w="2126" w:type="dxa"/>
          </w:tcPr>
          <w:p w14:paraId="0219498F" w14:textId="4615214B"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</w:t>
            </w:r>
            <w:r w:rsidR="005963C4">
              <w:rPr>
                <w:rFonts w:ascii="Tahoma" w:hAnsi="Tahoma" w:cs="Tahoma"/>
                <w:sz w:val="20"/>
                <w:szCs w:val="20"/>
                <w:lang w:val="nl-NL" w:eastAsia="ja-JP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/ 14</w:t>
            </w:r>
          </w:p>
        </w:tc>
        <w:tc>
          <w:tcPr>
            <w:tcW w:w="1701" w:type="dxa"/>
          </w:tcPr>
          <w:p w14:paraId="02194990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14:paraId="02194991" w14:textId="77777777"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14:paraId="02194997" w14:textId="77777777" w:rsidTr="002608F4">
        <w:tc>
          <w:tcPr>
            <w:tcW w:w="4248" w:type="dxa"/>
          </w:tcPr>
          <w:p w14:paraId="02194993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14:paraId="02194994" w14:textId="5278A397" w:rsidR="00007AB0" w:rsidRPr="003A1F97" w:rsidRDefault="001B6AB4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</w:t>
            </w:r>
            <w:r w:rsidR="005963C4">
              <w:rPr>
                <w:rFonts w:ascii="Tahoma" w:hAnsi="Tahoma" w:cs="Tahoma"/>
                <w:sz w:val="20"/>
                <w:szCs w:val="20"/>
                <w:lang w:val="nl-NL" w:eastAsia="ja-JP"/>
              </w:rPr>
              <w:t>58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2194995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14:paraId="02194996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14:paraId="0219499C" w14:textId="77777777" w:rsidTr="002608F4">
        <w:tc>
          <w:tcPr>
            <w:tcW w:w="4248" w:type="dxa"/>
          </w:tcPr>
          <w:p w14:paraId="02194998" w14:textId="77777777" w:rsidR="00007AB0" w:rsidRPr="003A1F97" w:rsidRDefault="00007AB0" w:rsidP="00111348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U </w:t>
            </w:r>
            <w:r w:rsidR="00111348">
              <w:rPr>
                <w:rFonts w:ascii="Tahoma" w:hAnsi="Tahoma" w:cs="Tahoma"/>
                <w:sz w:val="20"/>
                <w:szCs w:val="20"/>
                <w:lang w:val="nl-NL" w:eastAsia="ja-JP"/>
              </w:rPr>
              <w:t>verre</w:t>
            </w:r>
          </w:p>
        </w:tc>
        <w:tc>
          <w:tcPr>
            <w:tcW w:w="2126" w:type="dxa"/>
          </w:tcPr>
          <w:p w14:paraId="02194999" w14:textId="77777777" w:rsidR="00007AB0" w:rsidRPr="003A1F97" w:rsidRDefault="00F437C5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14:paraId="0219499A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14:paraId="0219499B" w14:textId="77777777"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  <w:tr w:rsidR="004019BB" w:rsidRPr="003A1F97" w14:paraId="021949A1" w14:textId="77777777" w:rsidTr="002608F4">
        <w:tc>
          <w:tcPr>
            <w:tcW w:w="4248" w:type="dxa"/>
          </w:tcPr>
          <w:p w14:paraId="0219499D" w14:textId="77777777" w:rsidR="004019BB" w:rsidRPr="003A1F97" w:rsidRDefault="004019BB" w:rsidP="004019BB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Rw (C;Ctr) </w:t>
            </w:r>
            <w:r w:rsidRPr="003358A3">
              <w:rPr>
                <w:rFonts w:ascii="Tahoma" w:hAnsi="Tahoma" w:cs="Tahoma"/>
                <w:sz w:val="20"/>
                <w:szCs w:val="20"/>
                <w:vertAlign w:val="superscript"/>
                <w:lang w:val="nl-NL" w:eastAsia="ja-JP"/>
              </w:rPr>
              <w:t>(2)</w:t>
            </w:r>
          </w:p>
        </w:tc>
        <w:tc>
          <w:tcPr>
            <w:tcW w:w="2126" w:type="dxa"/>
          </w:tcPr>
          <w:p w14:paraId="0219499E" w14:textId="77777777" w:rsidR="004019BB" w:rsidRDefault="004019BB" w:rsidP="004019BB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39 (-2;-4)</w:t>
            </w:r>
          </w:p>
        </w:tc>
        <w:tc>
          <w:tcPr>
            <w:tcW w:w="1701" w:type="dxa"/>
          </w:tcPr>
          <w:p w14:paraId="0219499F" w14:textId="77777777" w:rsidR="004019BB" w:rsidRPr="003A1F97" w:rsidRDefault="004019BB" w:rsidP="004019BB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dB</w:t>
            </w:r>
          </w:p>
        </w:tc>
        <w:tc>
          <w:tcPr>
            <w:tcW w:w="1275" w:type="dxa"/>
          </w:tcPr>
          <w:p w14:paraId="021949A0" w14:textId="77777777" w:rsidR="004019BB" w:rsidRPr="003A1F97" w:rsidRDefault="004019BB" w:rsidP="004019BB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EN 10140</w:t>
            </w:r>
          </w:p>
        </w:tc>
      </w:tr>
    </w:tbl>
    <w:p w14:paraId="021949A2" w14:textId="77777777"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14:paraId="021949A3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L'aspect visuel est transparent et neutre des deux côtés.</w:t>
      </w:r>
    </w:p>
    <w:p w14:paraId="021949A4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L'étanchéité hermétique du vitrage isolant sous vide est garantie 15 ans selon les dispositions du document de garantie constructeur.</w:t>
      </w:r>
    </w:p>
    <w:p w14:paraId="021949A5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 vitrage isolant sous vide doit être homologué ETA.</w:t>
      </w:r>
    </w:p>
    <w:p w14:paraId="021949A6" w14:textId="77777777" w:rsidR="00CB1989" w:rsidRPr="00111348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Les épaisseurs de verre du vitrage isolant sous vide sont déterminées en fonction des dimensions du vitrage, de la charge de vent, de la charge climatiqu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e, en fonction 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charges spécifiques et </w:t>
      </w:r>
      <w:r>
        <w:rPr>
          <w:rFonts w:ascii="Tahoma" w:hAnsi="Tahoma" w:cs="Tahoma"/>
          <w:sz w:val="20"/>
          <w:szCs w:val="20"/>
          <w:lang w:val="fr-BE" w:eastAsia="ja-JP"/>
        </w:rPr>
        <w:t>de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>s propriétés mécaniques intrinsèques des vitrages isolants sous vide.</w:t>
      </w:r>
    </w:p>
    <w:p w14:paraId="021949A7" w14:textId="77777777" w:rsidR="00CB1989" w:rsidRDefault="00CB1989" w:rsidP="00CB1989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Le</w:t>
      </w:r>
      <w:r>
        <w:rPr>
          <w:rFonts w:ascii="Tahoma" w:hAnsi="Tahoma" w:cs="Tahoma"/>
          <w:sz w:val="20"/>
          <w:szCs w:val="20"/>
          <w:lang w:val="fr-BE" w:eastAsia="ja-JP"/>
        </w:rPr>
        <w:t>s feuilles de verre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recuit </w:t>
      </w:r>
      <w:r>
        <w:rPr>
          <w:rFonts w:ascii="Tahoma" w:hAnsi="Tahoma" w:cs="Tahoma"/>
          <w:sz w:val="20"/>
          <w:szCs w:val="20"/>
          <w:lang w:val="fr-BE" w:eastAsia="ja-JP"/>
        </w:rPr>
        <w:t xml:space="preserve">constituant le vitrage sous vide 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doit être </w:t>
      </w:r>
      <w:r>
        <w:rPr>
          <w:rFonts w:ascii="Tahoma" w:hAnsi="Tahoma" w:cs="Tahoma"/>
          <w:sz w:val="20"/>
          <w:szCs w:val="20"/>
          <w:lang w:val="fr-BE" w:eastAsia="ja-JP"/>
        </w:rPr>
        <w:t>certifié Cradle to Cradle (C2C) Bronze et la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</w:t>
      </w:r>
      <w:r>
        <w:rPr>
          <w:rFonts w:ascii="Tahoma" w:hAnsi="Tahoma" w:cs="Tahoma"/>
          <w:sz w:val="20"/>
          <w:szCs w:val="20"/>
          <w:lang w:val="fr-BE" w:eastAsia="ja-JP"/>
        </w:rPr>
        <w:t>couche</w:t>
      </w:r>
      <w:r w:rsidRPr="00111348">
        <w:rPr>
          <w:rFonts w:ascii="Tahoma" w:hAnsi="Tahoma" w:cs="Tahoma"/>
          <w:sz w:val="20"/>
          <w:szCs w:val="20"/>
          <w:lang w:val="fr-BE" w:eastAsia="ja-JP"/>
        </w:rPr>
        <w:t xml:space="preserve"> à faible émissivité doit être Cradle to Cradle (C2C) Silver selon le programme de l'organisme indépendant certifié MBDC.</w:t>
      </w:r>
    </w:p>
    <w:p w14:paraId="021949A8" w14:textId="77777777" w:rsidR="00111348" w:rsidRPr="00111348" w:rsidRDefault="00111348" w:rsidP="00111348">
      <w:pPr>
        <w:autoSpaceDE w:val="0"/>
        <w:autoSpaceDN w:val="0"/>
        <w:rPr>
          <w:rFonts w:ascii="Tahoma" w:hAnsi="Tahoma" w:cs="Tahoma"/>
          <w:sz w:val="20"/>
          <w:szCs w:val="20"/>
          <w:lang w:val="fr-BE"/>
        </w:rPr>
      </w:pPr>
    </w:p>
    <w:p w14:paraId="021949A9" w14:textId="77777777" w:rsidR="00FA693C" w:rsidRDefault="00CB1989" w:rsidP="00CB198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111348">
        <w:rPr>
          <w:rFonts w:ascii="Tahoma" w:hAnsi="Tahoma" w:cs="Tahoma"/>
          <w:sz w:val="20"/>
          <w:szCs w:val="20"/>
          <w:lang w:val="fr-BE" w:eastAsia="ja-JP"/>
        </w:rPr>
        <w:t>Ces valeurs sont calculées sur la base de mesures spectrales conformément aux normes EN 140 et ISO 9050: 1990. La valeur U est calculée sur la base de la norme EN 673 et mesurée conformément à EN 674. La mesure d'émissivité répond les normes EN 673 (Annexe A) et EN 12898</w:t>
      </w:r>
    </w:p>
    <w:p w14:paraId="021949AA" w14:textId="77777777" w:rsidR="004019BB" w:rsidRPr="00111348" w:rsidRDefault="004019BB" w:rsidP="004019BB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fr-BE" w:eastAsia="ja-JP"/>
        </w:rPr>
      </w:pPr>
      <w:r w:rsidRPr="004019BB">
        <w:rPr>
          <w:rFonts w:ascii="Tahoma" w:hAnsi="Tahoma" w:cs="Tahoma"/>
          <w:sz w:val="20"/>
          <w:szCs w:val="20"/>
          <w:lang w:val="fr-BE" w:eastAsia="ja-JP"/>
        </w:rPr>
        <w:t>Ces indices d'insonorisation correspondent à un échantillon mesurant 1,23 mx 1,48 m selon EN ISO 10140-3. Le test est effectué dans des conditions de laboratoire. Les performances in situ peuvent varier en fonction des dimensions réelles du vitrage, du système de cadre, des sources de bruit, etc.</w:t>
      </w:r>
    </w:p>
    <w:sectPr w:rsidR="004019BB" w:rsidRPr="00111348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49AD" w14:textId="77777777" w:rsidR="00D07374" w:rsidRDefault="00D07374" w:rsidP="009A2B02">
      <w:r>
        <w:separator/>
      </w:r>
    </w:p>
  </w:endnote>
  <w:endnote w:type="continuationSeparator" w:id="0">
    <w:p w14:paraId="021949AE" w14:textId="77777777" w:rsidR="00D07374" w:rsidRDefault="00D07374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949AB" w14:textId="77777777" w:rsidR="00D07374" w:rsidRDefault="00D07374" w:rsidP="009A2B02">
      <w:r>
        <w:separator/>
      </w:r>
    </w:p>
  </w:footnote>
  <w:footnote w:type="continuationSeparator" w:id="0">
    <w:p w14:paraId="021949AC" w14:textId="77777777" w:rsidR="00D07374" w:rsidRDefault="00D07374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949AF" w14:textId="77777777" w:rsidR="009A2B02" w:rsidRPr="002538BA" w:rsidRDefault="004019BB">
    <w:pPr>
      <w:pStyle w:val="Head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TECH - FINEO Acoustic 39dB v401 - Specifications - 2020 08 18 - FR</w:t>
    </w:r>
    <w:r>
      <w:rPr>
        <w:noProof/>
      </w:rPr>
      <w:fldChar w:fldCharType="end"/>
    </w:r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21949B0" wp14:editId="021949B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949B2" w14:textId="77777777"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fill o:detectmouseclick="t"/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C7951"/>
    <w:rsid w:val="00111348"/>
    <w:rsid w:val="0016443B"/>
    <w:rsid w:val="00164675"/>
    <w:rsid w:val="001B6AB4"/>
    <w:rsid w:val="001C2193"/>
    <w:rsid w:val="001C6ABB"/>
    <w:rsid w:val="00212937"/>
    <w:rsid w:val="00225EA3"/>
    <w:rsid w:val="002538BA"/>
    <w:rsid w:val="002608F4"/>
    <w:rsid w:val="00276D38"/>
    <w:rsid w:val="00350A2B"/>
    <w:rsid w:val="00351E85"/>
    <w:rsid w:val="00392CA1"/>
    <w:rsid w:val="003A1F97"/>
    <w:rsid w:val="004019BB"/>
    <w:rsid w:val="004574FA"/>
    <w:rsid w:val="0046619D"/>
    <w:rsid w:val="004D6853"/>
    <w:rsid w:val="004F34BB"/>
    <w:rsid w:val="005963C4"/>
    <w:rsid w:val="005D4085"/>
    <w:rsid w:val="00613B3B"/>
    <w:rsid w:val="006415ED"/>
    <w:rsid w:val="006E33DC"/>
    <w:rsid w:val="00720107"/>
    <w:rsid w:val="00757507"/>
    <w:rsid w:val="007B42C3"/>
    <w:rsid w:val="007D4E99"/>
    <w:rsid w:val="007E67CA"/>
    <w:rsid w:val="00817A49"/>
    <w:rsid w:val="008A5849"/>
    <w:rsid w:val="008B753D"/>
    <w:rsid w:val="008E1F89"/>
    <w:rsid w:val="00900A45"/>
    <w:rsid w:val="00914E76"/>
    <w:rsid w:val="00916870"/>
    <w:rsid w:val="00934964"/>
    <w:rsid w:val="00942A00"/>
    <w:rsid w:val="009700A7"/>
    <w:rsid w:val="009739C2"/>
    <w:rsid w:val="009A2B02"/>
    <w:rsid w:val="009A6B3E"/>
    <w:rsid w:val="00A0259E"/>
    <w:rsid w:val="00A07E51"/>
    <w:rsid w:val="00A31B71"/>
    <w:rsid w:val="00AA0D2A"/>
    <w:rsid w:val="00BA11CA"/>
    <w:rsid w:val="00BA62F9"/>
    <w:rsid w:val="00BE7229"/>
    <w:rsid w:val="00C3380B"/>
    <w:rsid w:val="00C5499A"/>
    <w:rsid w:val="00CB1989"/>
    <w:rsid w:val="00CC155E"/>
    <w:rsid w:val="00D07374"/>
    <w:rsid w:val="00DC79E8"/>
    <w:rsid w:val="00DE3B43"/>
    <w:rsid w:val="00DF5F9C"/>
    <w:rsid w:val="00E06852"/>
    <w:rsid w:val="00E27C2C"/>
    <w:rsid w:val="00E369B6"/>
    <w:rsid w:val="00E40023"/>
    <w:rsid w:val="00E43DE9"/>
    <w:rsid w:val="00E4539D"/>
    <w:rsid w:val="00E5018B"/>
    <w:rsid w:val="00E72B66"/>
    <w:rsid w:val="00EB6991"/>
    <w:rsid w:val="00F437C5"/>
    <w:rsid w:val="00F5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194977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6" ma:contentTypeDescription="Create a new document." ma:contentTypeScope="" ma:versionID="9b1b373ce4e725a618ea8b3c87d1c331">
  <xsd:schema xmlns:xsd="http://www.w3.org/2001/XMLSchema" xmlns:xs="http://www.w3.org/2001/XMLSchema" xmlns:p="http://schemas.microsoft.com/office/2006/metadata/properties" xmlns:ns2="4336dab1-8265-4896-9154-93df6420a146" xmlns:ns3="80e150f2-9735-4783-8385-24c53ffff085" xmlns:ns4="73333eaf-658c-4bc2-85a2-a7ad08f6fc15" targetNamespace="http://schemas.microsoft.com/office/2006/metadata/properties" ma:root="true" ma:fieldsID="cac19137b102182bccf6f545dc59b60b" ns2:_="" ns3:_="" ns4:_=""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36dab1-8265-4896-9154-93df6420a146">N244PR4Y4PUZ-1582196448-2086</_dlc_DocId>
    <_dlc_DocIdUrl xmlns="4336dab1-8265-4896-9154-93df6420a146">
      <Url>https://agcglasseurope.sharepoint.com/sites/TI/PVIG/_layouts/15/DocIdRedir.aspx?ID=N244PR4Y4PUZ-1582196448-2086</Url>
      <Description>N244PR4Y4PUZ-1582196448-2086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0EAE2-E17A-4C3E-B6D9-C704DF0968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39236-8349-4225-9257-9C09E9FA0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6dab1-8265-4896-9154-93df6420a146"/>
    <ds:schemaRef ds:uri="80e150f2-9735-4783-8385-24c53ffff085"/>
    <ds:schemaRef ds:uri="73333eaf-658c-4bc2-85a2-a7ad08f6f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C6058-C67C-4F45-9AE0-3B2ED63E995C}">
  <ds:schemaRefs>
    <ds:schemaRef ds:uri="http://schemas.microsoft.com/office/2006/metadata/properties"/>
    <ds:schemaRef ds:uri="http://purl.org/dc/terms/"/>
    <ds:schemaRef ds:uri="80e150f2-9735-4783-8385-24c53ffff085"/>
    <ds:schemaRef ds:uri="http://schemas.microsoft.com/office/2006/documentManagement/types"/>
    <ds:schemaRef ds:uri="73333eaf-658c-4bc2-85a2-a7ad08f6fc1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336dab1-8265-4896-9154-93df6420a14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E0514F-E305-48D8-AA0A-636944EE47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4</cp:revision>
  <dcterms:created xsi:type="dcterms:W3CDTF">2020-08-18T09:13:00Z</dcterms:created>
  <dcterms:modified xsi:type="dcterms:W3CDTF">2020-08-31T09:17:00Z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0x010100C3816AB4E01FD84AA41969D98CC8AADE</vt:lpwstr>
  </property>
  <property fmtid="{D5CDD505-2E9C-101B-9397-08002B2CF9AE}" pid="11" name="_dlc_DocIdItemGuid">
    <vt:lpwstr>c9b2d459-4f3b-4c96-8cfe-324aab0188cd</vt:lpwstr>
  </property>
</Properties>
</file>